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7E54A" w14:textId="4DBDB8EA" w:rsidR="00785E4D" w:rsidRPr="00844939" w:rsidRDefault="00AA1AE2" w:rsidP="00AA1AE2">
      <w:pPr>
        <w:pStyle w:val="Abstract"/>
        <w:spacing w:line="276" w:lineRule="auto"/>
        <w:ind w:left="0"/>
        <w:rPr>
          <w:rFonts w:asciiTheme="majorBidi" w:hAnsiTheme="majorBidi" w:cstheme="majorBidi"/>
          <w:b/>
          <w:bCs/>
          <w:sz w:val="20"/>
          <w:szCs w:val="20"/>
        </w:rPr>
      </w:pPr>
      <w:r w:rsidRPr="00C91C89">
        <w:rPr>
          <w:noProof/>
          <w:color w:val="156082" w:themeColor="accent1"/>
          <w:sz w:val="20"/>
          <w:szCs w:val="20"/>
        </w:rPr>
        <w:drawing>
          <wp:anchor distT="0" distB="0" distL="114300" distR="114300" simplePos="0" relativeHeight="251664384" behindDoc="1" locked="0" layoutInCell="1" allowOverlap="1" wp14:anchorId="21BB7A19" wp14:editId="04932A08">
            <wp:simplePos x="0" y="0"/>
            <wp:positionH relativeFrom="margin">
              <wp:align>left</wp:align>
            </wp:positionH>
            <wp:positionV relativeFrom="paragraph">
              <wp:posOffset>0</wp:posOffset>
            </wp:positionV>
            <wp:extent cx="2735580" cy="2645410"/>
            <wp:effectExtent l="0" t="0" r="7620" b="2540"/>
            <wp:wrapTight wrapText="bothSides">
              <wp:wrapPolygon edited="0">
                <wp:start x="0" y="0"/>
                <wp:lineTo x="0" y="21465"/>
                <wp:lineTo x="21510" y="21465"/>
                <wp:lineTo x="21510" y="0"/>
                <wp:lineTo x="0" y="0"/>
              </wp:wrapPolygon>
            </wp:wrapTight>
            <wp:docPr id="555913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4754" cy="2654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C89">
        <w:rPr>
          <w:rFonts w:asciiTheme="majorBidi" w:hAnsiTheme="majorBidi" w:cstheme="majorBidi"/>
          <w:b/>
          <w:bCs/>
          <w:color w:val="156082" w:themeColor="accent1"/>
          <w:sz w:val="20"/>
          <w:szCs w:val="20"/>
        </w:rPr>
        <w:t>Overview</w:t>
      </w:r>
      <w:r w:rsidR="00785E4D" w:rsidRPr="00C91C89">
        <w:rPr>
          <w:rFonts w:asciiTheme="majorBidi" w:hAnsiTheme="majorBidi" w:cstheme="majorBidi"/>
          <w:b/>
          <w:bCs/>
          <w:color w:val="156082" w:themeColor="accent1"/>
          <w:sz w:val="20"/>
          <w:szCs w:val="20"/>
        </w:rPr>
        <w:t>:</w:t>
      </w:r>
      <w:r w:rsidR="00785E4D" w:rsidRPr="00C91C89">
        <w:rPr>
          <w:rFonts w:asciiTheme="majorBidi" w:hAnsiTheme="majorBidi" w:cstheme="majorBidi"/>
          <w:color w:val="156082" w:themeColor="accent1"/>
          <w:sz w:val="20"/>
          <w:szCs w:val="20"/>
        </w:rPr>
        <w:t xml:space="preserve"> </w:t>
      </w:r>
      <w:r w:rsidR="00785E4D" w:rsidRPr="00844939">
        <w:rPr>
          <w:rFonts w:asciiTheme="majorBidi" w:hAnsiTheme="majorBidi" w:cstheme="majorBidi"/>
          <w:sz w:val="20"/>
          <w:szCs w:val="20"/>
        </w:rPr>
        <w:t>Assistive products are used by children, adults and older persons to overcome a functional limitation which may be associated with having a disability, health condition or age-related decline [1-5]. The W</w:t>
      </w:r>
      <w:r w:rsidR="003F0707" w:rsidRPr="00844939">
        <w:rPr>
          <w:rFonts w:asciiTheme="majorBidi" w:hAnsiTheme="majorBidi" w:cstheme="majorBidi"/>
          <w:sz w:val="20"/>
          <w:szCs w:val="20"/>
        </w:rPr>
        <w:t xml:space="preserve">orld </w:t>
      </w:r>
      <w:r w:rsidR="00785E4D" w:rsidRPr="00844939">
        <w:rPr>
          <w:rFonts w:asciiTheme="majorBidi" w:hAnsiTheme="majorBidi" w:cstheme="majorBidi"/>
          <w:sz w:val="20"/>
          <w:szCs w:val="20"/>
        </w:rPr>
        <w:t>H</w:t>
      </w:r>
      <w:r w:rsidR="003F0707" w:rsidRPr="00844939">
        <w:rPr>
          <w:rFonts w:asciiTheme="majorBidi" w:hAnsiTheme="majorBidi" w:cstheme="majorBidi"/>
          <w:sz w:val="20"/>
          <w:szCs w:val="20"/>
        </w:rPr>
        <w:t xml:space="preserve">ealth </w:t>
      </w:r>
      <w:r w:rsidR="00785E4D" w:rsidRPr="00844939">
        <w:rPr>
          <w:rFonts w:asciiTheme="majorBidi" w:hAnsiTheme="majorBidi" w:cstheme="majorBidi"/>
          <w:sz w:val="20"/>
          <w:szCs w:val="20"/>
        </w:rPr>
        <w:t>O</w:t>
      </w:r>
      <w:r w:rsidR="003F0707" w:rsidRPr="00844939">
        <w:rPr>
          <w:rFonts w:asciiTheme="majorBidi" w:hAnsiTheme="majorBidi" w:cstheme="majorBidi"/>
          <w:sz w:val="20"/>
          <w:szCs w:val="20"/>
        </w:rPr>
        <w:t>rganization (W</w:t>
      </w:r>
      <w:r w:rsidR="003648E0" w:rsidRPr="00844939">
        <w:rPr>
          <w:rFonts w:asciiTheme="majorBidi" w:hAnsiTheme="majorBidi" w:cstheme="majorBidi"/>
          <w:sz w:val="20"/>
          <w:szCs w:val="20"/>
        </w:rPr>
        <w:t xml:space="preserve">HO) </w:t>
      </w:r>
      <w:r w:rsidR="00785E4D" w:rsidRPr="00844939">
        <w:rPr>
          <w:rFonts w:asciiTheme="majorBidi" w:hAnsiTheme="majorBidi" w:cstheme="majorBidi"/>
          <w:sz w:val="20"/>
          <w:szCs w:val="20"/>
        </w:rPr>
        <w:t>has published a list of 50 ‘priority’ assistive products, which includes a wide range of products such as wheelchairs, continence products, hearing aids and glasses [6-9]. The people who use assistive products are as diverse as the product range; however, they are unified by the impact successful and sustained access to these devices can have on their lives. Global reports on disability, ageing, vision and hearing identify assistive products as enablers [10-12]. Literature highlights the impact of assistive products on enabling people’s full and inclusive participation in all areas of life including education, health and healthy ageing, employment, as well as social and political participation. Access to assistive products has been identified as a right for people with disabilities, “a mediator and a moderator” towards achieving the Sustainable Development Goals, and a component of universal health</w:t>
      </w:r>
      <w:r w:rsidR="00C177BD" w:rsidRPr="00844939">
        <w:rPr>
          <w:rFonts w:asciiTheme="majorBidi" w:hAnsiTheme="majorBidi" w:cstheme="majorBidi"/>
          <w:sz w:val="20"/>
          <w:szCs w:val="20"/>
        </w:rPr>
        <w:t xml:space="preserve"> </w:t>
      </w:r>
      <w:r w:rsidR="00785E4D" w:rsidRPr="00844939">
        <w:rPr>
          <w:rFonts w:asciiTheme="majorBidi" w:hAnsiTheme="majorBidi" w:cstheme="majorBidi"/>
          <w:sz w:val="20"/>
          <w:szCs w:val="20"/>
        </w:rPr>
        <w:t>coverage [13-18].</w:t>
      </w:r>
      <w:r w:rsidR="00C177BD" w:rsidRPr="00844939">
        <w:rPr>
          <w:rFonts w:asciiTheme="majorBidi" w:hAnsiTheme="majorBidi" w:cstheme="majorBidi"/>
          <w:sz w:val="20"/>
          <w:szCs w:val="20"/>
        </w:rPr>
        <w:t xml:space="preserve"> The </w:t>
      </w:r>
      <w:r w:rsidR="00785E4D" w:rsidRPr="00844939">
        <w:rPr>
          <w:rFonts w:asciiTheme="majorBidi" w:hAnsiTheme="majorBidi" w:cstheme="majorBidi"/>
          <w:sz w:val="20"/>
          <w:szCs w:val="20"/>
        </w:rPr>
        <w:t>WHO uses the term assistive technology to describe the ecosystem needed for effective provision of assistive products including product supply, services, personnel, policies and financing mechanisms [19-20].</w:t>
      </w:r>
    </w:p>
    <w:p w14:paraId="6A341967" w14:textId="5A1B3419" w:rsidR="00785E4D" w:rsidRPr="00844939" w:rsidRDefault="00CD3882" w:rsidP="006F019B">
      <w:pPr>
        <w:pStyle w:val="Abstract"/>
        <w:spacing w:line="276" w:lineRule="auto"/>
        <w:ind w:left="0"/>
        <w:rPr>
          <w:rFonts w:asciiTheme="majorBidi" w:hAnsiTheme="majorBidi" w:cstheme="majorBidi"/>
          <w:sz w:val="20"/>
          <w:szCs w:val="20"/>
        </w:rPr>
      </w:pPr>
      <w:r>
        <w:rPr>
          <w:rFonts w:asciiTheme="majorBidi" w:hAnsiTheme="majorBidi" w:cstheme="majorBidi"/>
          <w:b/>
          <w:bCs/>
          <w:color w:val="156082" w:themeColor="accent1"/>
          <w:sz w:val="20"/>
          <w:szCs w:val="20"/>
        </w:rPr>
        <w:t>Key facts</w:t>
      </w:r>
      <w:r w:rsidR="00785E4D" w:rsidRPr="00CD3882">
        <w:rPr>
          <w:rFonts w:asciiTheme="majorBidi" w:hAnsiTheme="majorBidi" w:cstheme="majorBidi"/>
          <w:b/>
          <w:bCs/>
          <w:color w:val="156082" w:themeColor="accent1"/>
          <w:sz w:val="20"/>
          <w:szCs w:val="20"/>
        </w:rPr>
        <w:t>:</w:t>
      </w:r>
      <w:r w:rsidR="00785E4D" w:rsidRPr="00CD3882">
        <w:rPr>
          <w:rFonts w:asciiTheme="majorBidi" w:hAnsiTheme="majorBidi" w:cstheme="majorBidi"/>
          <w:color w:val="156082" w:themeColor="accent1"/>
          <w:sz w:val="20"/>
          <w:szCs w:val="20"/>
        </w:rPr>
        <w:t xml:space="preserve"> </w:t>
      </w:r>
      <w:r w:rsidR="00785E4D" w:rsidRPr="00E64160">
        <w:rPr>
          <w:rFonts w:asciiTheme="majorBidi" w:hAnsiTheme="majorBidi" w:cstheme="majorBidi"/>
          <w:b/>
          <w:bCs/>
          <w:color w:val="FF0000"/>
          <w:sz w:val="20"/>
          <w:szCs w:val="20"/>
        </w:rPr>
        <w:t>2.5</w:t>
      </w:r>
      <w:r w:rsidR="00785E4D" w:rsidRPr="00E64160">
        <w:rPr>
          <w:rFonts w:asciiTheme="majorBidi" w:hAnsiTheme="majorBidi" w:cstheme="majorBidi"/>
          <w:color w:val="FF0000"/>
          <w:sz w:val="20"/>
          <w:szCs w:val="20"/>
        </w:rPr>
        <w:t xml:space="preserve"> </w:t>
      </w:r>
      <w:r w:rsidR="00785E4D" w:rsidRPr="00844939">
        <w:rPr>
          <w:rFonts w:asciiTheme="majorBidi" w:hAnsiTheme="majorBidi" w:cstheme="majorBidi"/>
          <w:sz w:val="20"/>
          <w:szCs w:val="20"/>
        </w:rPr>
        <w:t xml:space="preserve">billion people today and </w:t>
      </w:r>
      <w:r w:rsidR="00785E4D" w:rsidRPr="00115D00">
        <w:rPr>
          <w:rFonts w:asciiTheme="majorBidi" w:hAnsiTheme="majorBidi" w:cstheme="majorBidi"/>
          <w:b/>
          <w:bCs/>
          <w:color w:val="FF0000"/>
          <w:sz w:val="20"/>
          <w:szCs w:val="20"/>
        </w:rPr>
        <w:t>3.5</w:t>
      </w:r>
      <w:r w:rsidR="00785E4D" w:rsidRPr="00115D00">
        <w:rPr>
          <w:rFonts w:asciiTheme="majorBidi" w:hAnsiTheme="majorBidi" w:cstheme="majorBidi"/>
          <w:color w:val="FF0000"/>
          <w:sz w:val="20"/>
          <w:szCs w:val="20"/>
        </w:rPr>
        <w:t xml:space="preserve"> </w:t>
      </w:r>
      <w:r w:rsidR="00785E4D" w:rsidRPr="00844939">
        <w:rPr>
          <w:rFonts w:asciiTheme="majorBidi" w:hAnsiTheme="majorBidi" w:cstheme="majorBidi"/>
          <w:sz w:val="20"/>
          <w:szCs w:val="20"/>
        </w:rPr>
        <w:t xml:space="preserve">billion by </w:t>
      </w:r>
      <w:r w:rsidR="00785E4D" w:rsidRPr="00115D00">
        <w:rPr>
          <w:rFonts w:asciiTheme="majorBidi" w:hAnsiTheme="majorBidi" w:cstheme="majorBidi"/>
          <w:b/>
          <w:bCs/>
          <w:color w:val="FF0000"/>
          <w:sz w:val="20"/>
          <w:szCs w:val="20"/>
        </w:rPr>
        <w:t>2050</w:t>
      </w:r>
      <w:r w:rsidR="00785E4D" w:rsidRPr="00844939">
        <w:rPr>
          <w:rFonts w:asciiTheme="majorBidi" w:hAnsiTheme="majorBidi" w:cstheme="majorBidi"/>
          <w:sz w:val="20"/>
          <w:szCs w:val="20"/>
        </w:rPr>
        <w:t xml:space="preserve"> need assistive products such as wheelchairs, glasses, hearing aids, white canes and more [1-3]. These are devices that may be used by children and adults with disabilities, people living with chronic health conditions including neglected tropical diseases and noncommunicable diseases, older people and people with mental health conditions [14-18]. For many,</w:t>
      </w:r>
      <w:r w:rsidR="00B50E1A" w:rsidRPr="00844939">
        <w:rPr>
          <w:rFonts w:asciiTheme="majorBidi" w:hAnsiTheme="majorBidi" w:cstheme="majorBidi"/>
          <w:sz w:val="20"/>
          <w:szCs w:val="20"/>
        </w:rPr>
        <w:t xml:space="preserve"> </w:t>
      </w:r>
      <w:r w:rsidR="00785E4D" w:rsidRPr="00844939">
        <w:rPr>
          <w:rFonts w:asciiTheme="majorBidi" w:hAnsiTheme="majorBidi" w:cstheme="majorBidi"/>
          <w:sz w:val="20"/>
          <w:szCs w:val="20"/>
        </w:rPr>
        <w:t xml:space="preserve">assistive products are essential for health, well-being, participation and inclusion, and yet access to assistive technology varies from </w:t>
      </w:r>
      <w:r w:rsidR="00785E4D" w:rsidRPr="00115D00">
        <w:rPr>
          <w:rFonts w:asciiTheme="majorBidi" w:hAnsiTheme="majorBidi" w:cstheme="majorBidi"/>
          <w:b/>
          <w:bCs/>
          <w:color w:val="FF0000"/>
          <w:sz w:val="20"/>
          <w:szCs w:val="20"/>
        </w:rPr>
        <w:t>3%</w:t>
      </w:r>
      <w:r w:rsidR="00785E4D" w:rsidRPr="00844939">
        <w:rPr>
          <w:rFonts w:asciiTheme="majorBidi" w:hAnsiTheme="majorBidi" w:cstheme="majorBidi"/>
          <w:sz w:val="20"/>
          <w:szCs w:val="20"/>
        </w:rPr>
        <w:t xml:space="preserve"> in some low-income settings to </w:t>
      </w:r>
      <w:r w:rsidR="00785E4D" w:rsidRPr="00115D00">
        <w:rPr>
          <w:rFonts w:asciiTheme="majorBidi" w:hAnsiTheme="majorBidi" w:cstheme="majorBidi"/>
          <w:b/>
          <w:bCs/>
          <w:color w:val="FF0000"/>
          <w:sz w:val="20"/>
          <w:szCs w:val="20"/>
        </w:rPr>
        <w:t>90%</w:t>
      </w:r>
      <w:r w:rsidR="00785E4D" w:rsidRPr="00844939">
        <w:rPr>
          <w:rFonts w:asciiTheme="majorBidi" w:hAnsiTheme="majorBidi" w:cstheme="majorBidi"/>
          <w:sz w:val="20"/>
          <w:szCs w:val="20"/>
        </w:rPr>
        <w:t xml:space="preserve"> in some high-income settings</w:t>
      </w:r>
      <w:r w:rsidR="00C7572E">
        <w:rPr>
          <w:rFonts w:asciiTheme="majorBidi" w:hAnsiTheme="majorBidi" w:cstheme="majorBidi"/>
          <w:sz w:val="20"/>
          <w:szCs w:val="20"/>
        </w:rPr>
        <w:t xml:space="preserve"> with </w:t>
      </w:r>
      <w:r w:rsidR="00C7572E">
        <w:rPr>
          <w:sz w:val="20"/>
          <w:szCs w:val="20"/>
        </w:rPr>
        <w:t>l</w:t>
      </w:r>
      <w:r w:rsidR="00C7572E" w:rsidRPr="00C7572E">
        <w:rPr>
          <w:sz w:val="20"/>
          <w:szCs w:val="20"/>
        </w:rPr>
        <w:t>ack of access to assistive products, particularly in low- and middle-income countries</w:t>
      </w:r>
      <w:r w:rsidR="00C7572E">
        <w:rPr>
          <w:sz w:val="20"/>
          <w:szCs w:val="20"/>
        </w:rPr>
        <w:t xml:space="preserve"> </w:t>
      </w:r>
      <w:r w:rsidR="00C7572E" w:rsidRPr="00844939">
        <w:rPr>
          <w:rFonts w:asciiTheme="majorBidi" w:hAnsiTheme="majorBidi" w:cstheme="majorBidi"/>
          <w:sz w:val="20"/>
          <w:szCs w:val="20"/>
        </w:rPr>
        <w:t>[21-22].</w:t>
      </w:r>
      <w:r w:rsidR="00C7572E">
        <w:rPr>
          <w:rFonts w:asciiTheme="majorBidi" w:hAnsiTheme="majorBidi" w:cstheme="majorBidi"/>
          <w:sz w:val="20"/>
          <w:szCs w:val="20"/>
        </w:rPr>
        <w:t xml:space="preserve"> </w:t>
      </w:r>
      <w:r w:rsidR="00E1740C">
        <w:rPr>
          <w:rFonts w:asciiTheme="majorBidi" w:hAnsiTheme="majorBidi" w:cstheme="majorBidi"/>
          <w:sz w:val="20"/>
          <w:szCs w:val="20"/>
        </w:rPr>
        <w:t xml:space="preserve"> </w:t>
      </w:r>
    </w:p>
    <w:p w14:paraId="6BBF763B" w14:textId="3636010E" w:rsidR="00785E4D" w:rsidRPr="00844939" w:rsidRDefault="00785E4D" w:rsidP="006F019B">
      <w:pPr>
        <w:pStyle w:val="Abstract"/>
        <w:spacing w:line="276" w:lineRule="auto"/>
        <w:ind w:left="0"/>
        <w:rPr>
          <w:rFonts w:asciiTheme="majorBidi" w:hAnsiTheme="majorBidi" w:cstheme="majorBidi"/>
          <w:sz w:val="20"/>
          <w:szCs w:val="20"/>
        </w:rPr>
      </w:pPr>
      <w:r w:rsidRPr="007264FD">
        <w:rPr>
          <w:rFonts w:asciiTheme="majorBidi" w:hAnsiTheme="majorBidi" w:cstheme="majorBidi"/>
          <w:b/>
          <w:bCs/>
          <w:color w:val="156082" w:themeColor="accent1"/>
          <w:sz w:val="20"/>
          <w:szCs w:val="20"/>
        </w:rPr>
        <w:t>Barriers to access are multi-dimensional and include</w:t>
      </w:r>
      <w:r w:rsidRPr="007264FD">
        <w:rPr>
          <w:rFonts w:asciiTheme="majorBidi" w:hAnsiTheme="majorBidi" w:cstheme="majorBidi"/>
          <w:color w:val="156082" w:themeColor="accent1"/>
          <w:sz w:val="20"/>
          <w:szCs w:val="20"/>
        </w:rPr>
        <w:t xml:space="preserve"> </w:t>
      </w:r>
      <w:r w:rsidRPr="00844939">
        <w:rPr>
          <w:rFonts w:asciiTheme="majorBidi" w:hAnsiTheme="majorBidi" w:cstheme="majorBidi"/>
          <w:sz w:val="20"/>
          <w:szCs w:val="20"/>
        </w:rPr>
        <w:t>low awareness and limited demand for products and services; limitations in product innovation and supply chain challenges; and a chronic shortage of personnel equipped with knowledge, skills and resources to systematically provide assistive products. Countries with the highest prevalence of disability related health conditions tend to be those with the lowest supply of health workers skilled in this area [23-2</w:t>
      </w:r>
      <w:r w:rsidR="007905D6" w:rsidRPr="00844939">
        <w:rPr>
          <w:rFonts w:asciiTheme="majorBidi" w:hAnsiTheme="majorBidi" w:cstheme="majorBidi"/>
          <w:sz w:val="20"/>
          <w:szCs w:val="20"/>
        </w:rPr>
        <w:t>7</w:t>
      </w:r>
      <w:r w:rsidRPr="00844939">
        <w:rPr>
          <w:rFonts w:asciiTheme="majorBidi" w:hAnsiTheme="majorBidi" w:cstheme="majorBidi"/>
          <w:sz w:val="20"/>
          <w:szCs w:val="20"/>
        </w:rPr>
        <w:t xml:space="preserve">]. </w:t>
      </w:r>
    </w:p>
    <w:p w14:paraId="2B27B244" w14:textId="302BFCF2" w:rsidR="00785E4D" w:rsidRPr="00844939" w:rsidRDefault="00785E4D" w:rsidP="006F019B">
      <w:pPr>
        <w:pStyle w:val="Abstract"/>
        <w:spacing w:line="276" w:lineRule="auto"/>
        <w:ind w:left="0"/>
        <w:rPr>
          <w:rFonts w:asciiTheme="majorBidi" w:hAnsiTheme="majorBidi" w:cstheme="majorBidi"/>
          <w:sz w:val="20"/>
          <w:szCs w:val="20"/>
        </w:rPr>
      </w:pPr>
      <w:r w:rsidRPr="007264FD">
        <w:rPr>
          <w:rFonts w:asciiTheme="majorBidi" w:hAnsiTheme="majorBidi" w:cstheme="majorBidi"/>
          <w:b/>
          <w:bCs/>
          <w:color w:val="156082" w:themeColor="accent1"/>
          <w:sz w:val="20"/>
          <w:szCs w:val="20"/>
        </w:rPr>
        <w:t>WHO mandate:</w:t>
      </w:r>
      <w:r w:rsidRPr="007264FD">
        <w:rPr>
          <w:rFonts w:asciiTheme="majorBidi" w:hAnsiTheme="majorBidi" w:cstheme="majorBidi"/>
          <w:color w:val="156082" w:themeColor="accent1"/>
          <w:sz w:val="20"/>
          <w:szCs w:val="20"/>
        </w:rPr>
        <w:t xml:space="preserve"> </w:t>
      </w:r>
      <w:r w:rsidRPr="00844939">
        <w:rPr>
          <w:rFonts w:asciiTheme="majorBidi" w:hAnsiTheme="majorBidi" w:cstheme="majorBidi"/>
          <w:sz w:val="20"/>
          <w:szCs w:val="20"/>
        </w:rPr>
        <w:t xml:space="preserve">The World Health Assembly resolution 71.8 (WHA71.8) on improving access to assistive technology states “the inclusion of assistive technology, in line with countries’ national priority and context, into health systems is essential for realizing progress towards the targets in the Sustainable Development Goals relating to universal health coverage, inclusive and equitable quality education, inclusive and sustainable economic growth, full and productive employment and decent work for all” [24-28]. </w:t>
      </w:r>
    </w:p>
    <w:p w14:paraId="2CEEA5DC" w14:textId="79C401A0" w:rsidR="00785E4D" w:rsidRPr="00844939" w:rsidRDefault="00785E4D" w:rsidP="006F019B">
      <w:pPr>
        <w:pStyle w:val="Abstract"/>
        <w:spacing w:line="276" w:lineRule="auto"/>
        <w:ind w:left="0"/>
        <w:rPr>
          <w:rFonts w:asciiTheme="majorBidi" w:hAnsiTheme="majorBidi" w:cstheme="majorBidi"/>
          <w:sz w:val="20"/>
          <w:szCs w:val="20"/>
        </w:rPr>
      </w:pPr>
      <w:r w:rsidRPr="007264FD">
        <w:rPr>
          <w:rFonts w:asciiTheme="majorBidi" w:hAnsiTheme="majorBidi" w:cstheme="majorBidi"/>
          <w:b/>
          <w:bCs/>
          <w:color w:val="156082" w:themeColor="accent1"/>
          <w:sz w:val="20"/>
          <w:szCs w:val="20"/>
        </w:rPr>
        <w:t>The workforce challenge:</w:t>
      </w:r>
      <w:r w:rsidRPr="007264FD">
        <w:rPr>
          <w:rFonts w:asciiTheme="majorBidi" w:hAnsiTheme="majorBidi" w:cstheme="majorBidi"/>
          <w:color w:val="156082" w:themeColor="accent1"/>
          <w:sz w:val="20"/>
          <w:szCs w:val="20"/>
        </w:rPr>
        <w:t xml:space="preserve"> </w:t>
      </w:r>
      <w:r w:rsidRPr="00844939">
        <w:rPr>
          <w:rFonts w:asciiTheme="majorBidi" w:hAnsiTheme="majorBidi" w:cstheme="majorBidi"/>
          <w:sz w:val="20"/>
          <w:szCs w:val="20"/>
        </w:rPr>
        <w:t xml:space="preserve">Due to an extreme shortage of health care workers trained to provide assistive products, realising the intent of WHA71.8 and the recommendations from the WHO and UNICEF Global Report on Assistive Technology, requires new approaches for workforce preparation and support. Traditionally, training in assistive technology is delivered face to face, and targets tertiary level personnel. There are, however, strong arguments to support the </w:t>
      </w:r>
      <w:proofErr w:type="gramStart"/>
      <w:r w:rsidRPr="00844939">
        <w:rPr>
          <w:rFonts w:asciiTheme="majorBidi" w:hAnsiTheme="majorBidi" w:cstheme="majorBidi"/>
          <w:sz w:val="20"/>
          <w:szCs w:val="20"/>
        </w:rPr>
        <w:t>up-skilling</w:t>
      </w:r>
      <w:proofErr w:type="gramEnd"/>
      <w:r w:rsidRPr="00844939">
        <w:rPr>
          <w:rFonts w:asciiTheme="majorBidi" w:hAnsiTheme="majorBidi" w:cstheme="majorBidi"/>
          <w:sz w:val="20"/>
          <w:szCs w:val="20"/>
        </w:rPr>
        <w:t xml:space="preserve"> of primary and other health care personnel to play a role in assistive technology. The 2018 Declaration of Astana identified Primary Health Care as the ‘cornerstone’ of a sustainable health system for universal health coverage. Worldwide, primary health care has been demonstrated to enable better access to health services, improved health outcomes and a reduced burden on secondary and/or tertiary level services [27-29]. </w:t>
      </w:r>
    </w:p>
    <w:p w14:paraId="5556DA71" w14:textId="62EB6504" w:rsidR="00785E4D" w:rsidRPr="00844939" w:rsidRDefault="0029468B" w:rsidP="009D527C">
      <w:pPr>
        <w:pStyle w:val="Abstract"/>
        <w:spacing w:line="276" w:lineRule="auto"/>
        <w:ind w:left="0"/>
        <w:rPr>
          <w:rFonts w:asciiTheme="majorBidi" w:hAnsiTheme="majorBidi" w:cstheme="majorBidi"/>
          <w:sz w:val="20"/>
          <w:szCs w:val="20"/>
        </w:rPr>
      </w:pPr>
      <w:r w:rsidRPr="007264FD">
        <w:rPr>
          <w:rFonts w:asciiTheme="majorBidi" w:hAnsiTheme="majorBidi" w:cstheme="majorBidi"/>
          <w:noProof/>
          <w:color w:val="156082" w:themeColor="accent1"/>
          <w:sz w:val="20"/>
          <w:szCs w:val="20"/>
          <w:lang w:val="en-US"/>
        </w:rPr>
        <w:lastRenderedPageBreak/>
        <w:drawing>
          <wp:anchor distT="0" distB="0" distL="114300" distR="114300" simplePos="0" relativeHeight="251662336" behindDoc="1" locked="0" layoutInCell="1" allowOverlap="1" wp14:anchorId="4D95BA54" wp14:editId="4D163F52">
            <wp:simplePos x="0" y="0"/>
            <wp:positionH relativeFrom="margin">
              <wp:posOffset>3583940</wp:posOffset>
            </wp:positionH>
            <wp:positionV relativeFrom="paragraph">
              <wp:posOffset>2396820</wp:posOffset>
            </wp:positionV>
            <wp:extent cx="2218055" cy="1565275"/>
            <wp:effectExtent l="0" t="0" r="0" b="0"/>
            <wp:wrapTight wrapText="bothSides">
              <wp:wrapPolygon edited="0">
                <wp:start x="0" y="0"/>
                <wp:lineTo x="0" y="21293"/>
                <wp:lineTo x="21334" y="21293"/>
                <wp:lineTo x="21334" y="0"/>
                <wp:lineTo x="0" y="0"/>
              </wp:wrapPolygon>
            </wp:wrapTight>
            <wp:docPr id="19" name="Picture 18" descr="A group of people sitting in chairs&#10;&#10;Description automatically generated">
              <a:extLst xmlns:a="http://schemas.openxmlformats.org/drawingml/2006/main">
                <a:ext uri="{FF2B5EF4-FFF2-40B4-BE49-F238E27FC236}">
                  <a16:creationId xmlns:a16="http://schemas.microsoft.com/office/drawing/2014/main" id="{D0ACF137-F5BD-0A4A-F29F-33470A996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people sitting in chairs&#10;&#10;Description automatically generated">
                      <a:extLst>
                        <a:ext uri="{FF2B5EF4-FFF2-40B4-BE49-F238E27FC236}">
                          <a16:creationId xmlns:a16="http://schemas.microsoft.com/office/drawing/2014/main" id="{D0ACF137-F5BD-0A4A-F29F-33470A996D8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2109" t="8842" r="18670" b="11720"/>
                    <a:stretch/>
                  </pic:blipFill>
                  <pic:spPr>
                    <a:xfrm>
                      <a:off x="0" y="0"/>
                      <a:ext cx="2218055" cy="1565275"/>
                    </a:xfrm>
                    <a:prstGeom prst="rect">
                      <a:avLst/>
                    </a:prstGeom>
                  </pic:spPr>
                </pic:pic>
              </a:graphicData>
            </a:graphic>
            <wp14:sizeRelH relativeFrom="margin">
              <wp14:pctWidth>0</wp14:pctWidth>
            </wp14:sizeRelH>
            <wp14:sizeRelV relativeFrom="margin">
              <wp14:pctHeight>0</wp14:pctHeight>
            </wp14:sizeRelV>
          </wp:anchor>
        </w:drawing>
      </w:r>
      <w:r w:rsidR="001F5B78" w:rsidRPr="007264FD">
        <w:rPr>
          <w:rFonts w:asciiTheme="majorBidi" w:hAnsiTheme="majorBidi" w:cstheme="majorBidi"/>
          <w:b/>
          <w:bCs/>
          <w:color w:val="156082" w:themeColor="accent1"/>
          <w:sz w:val="20"/>
          <w:szCs w:val="20"/>
        </w:rPr>
        <w:t xml:space="preserve">Introducing </w:t>
      </w:r>
      <w:r w:rsidR="00785E4D" w:rsidRPr="007264FD">
        <w:rPr>
          <w:rFonts w:asciiTheme="majorBidi" w:hAnsiTheme="majorBidi" w:cstheme="majorBidi"/>
          <w:b/>
          <w:bCs/>
          <w:color w:val="156082" w:themeColor="accent1"/>
          <w:sz w:val="20"/>
          <w:szCs w:val="20"/>
        </w:rPr>
        <w:t>Training in Assistive Products (TAP):</w:t>
      </w:r>
      <w:r w:rsidR="00785E4D" w:rsidRPr="007264FD">
        <w:rPr>
          <w:rFonts w:asciiTheme="majorBidi" w:hAnsiTheme="majorBidi" w:cstheme="majorBidi"/>
          <w:color w:val="156082" w:themeColor="accent1"/>
          <w:sz w:val="20"/>
          <w:szCs w:val="20"/>
        </w:rPr>
        <w:t xml:space="preserve"> </w:t>
      </w:r>
      <w:r w:rsidR="00785E4D" w:rsidRPr="00844939">
        <w:rPr>
          <w:rFonts w:asciiTheme="majorBidi" w:hAnsiTheme="majorBidi" w:cstheme="majorBidi"/>
          <w:sz w:val="20"/>
          <w:szCs w:val="20"/>
        </w:rPr>
        <w:t xml:space="preserve">To build the capacity of the primary health care </w:t>
      </w:r>
      <w:proofErr w:type="gramStart"/>
      <w:r w:rsidR="00785E4D" w:rsidRPr="00844939">
        <w:rPr>
          <w:rFonts w:asciiTheme="majorBidi" w:hAnsiTheme="majorBidi" w:cstheme="majorBidi"/>
          <w:sz w:val="20"/>
          <w:szCs w:val="20"/>
        </w:rPr>
        <w:t>workforce in particular, to</w:t>
      </w:r>
      <w:proofErr w:type="gramEnd"/>
      <w:r w:rsidR="00785E4D" w:rsidRPr="00844939">
        <w:rPr>
          <w:rFonts w:asciiTheme="majorBidi" w:hAnsiTheme="majorBidi" w:cstheme="majorBidi"/>
          <w:sz w:val="20"/>
          <w:szCs w:val="20"/>
        </w:rPr>
        <w:t xml:space="preserve"> play a role in assistive technology, WHO developed TAP, </w:t>
      </w:r>
      <w:r w:rsidR="006B677C" w:rsidRPr="00844939">
        <w:rPr>
          <w:rFonts w:asciiTheme="majorBidi" w:hAnsiTheme="majorBidi" w:cstheme="majorBidi"/>
          <w:sz w:val="20"/>
          <w:szCs w:val="20"/>
        </w:rPr>
        <w:t xml:space="preserve">an </w:t>
      </w:r>
      <w:r w:rsidR="006B677C" w:rsidRPr="00844939">
        <w:rPr>
          <w:rFonts w:asciiTheme="majorBidi" w:hAnsiTheme="majorBidi" w:cstheme="majorBidi"/>
          <w:sz w:val="20"/>
          <w:szCs w:val="20"/>
          <w:lang w:val="en-US"/>
        </w:rPr>
        <w:t>o</w:t>
      </w:r>
      <w:r w:rsidR="006361CD" w:rsidRPr="006361CD">
        <w:rPr>
          <w:rFonts w:asciiTheme="majorBidi" w:hAnsiTheme="majorBidi" w:cstheme="majorBidi"/>
          <w:sz w:val="20"/>
          <w:szCs w:val="20"/>
          <w:lang w:val="en-US"/>
        </w:rPr>
        <w:t>pen access online training resource, launched in November 2022</w:t>
      </w:r>
      <w:r w:rsidR="006B677C" w:rsidRPr="00844939">
        <w:rPr>
          <w:rFonts w:asciiTheme="majorBidi" w:hAnsiTheme="majorBidi" w:cstheme="majorBidi"/>
          <w:sz w:val="20"/>
          <w:szCs w:val="20"/>
          <w:lang w:val="en-US"/>
        </w:rPr>
        <w:t xml:space="preserve"> </w:t>
      </w:r>
      <w:r w:rsidR="00B406B8" w:rsidRPr="00844939">
        <w:rPr>
          <w:rFonts w:asciiTheme="majorBidi" w:hAnsiTheme="majorBidi" w:cstheme="majorBidi"/>
          <w:sz w:val="20"/>
          <w:szCs w:val="20"/>
          <w:lang w:val="en-US"/>
        </w:rPr>
        <w:t xml:space="preserve">to help </w:t>
      </w:r>
      <w:r w:rsidR="00B406B8" w:rsidRPr="00844939">
        <w:rPr>
          <w:rFonts w:eastAsia="Times New Roman"/>
          <w:sz w:val="20"/>
          <w:szCs w:val="20"/>
          <w:lang w:val="en-US"/>
        </w:rPr>
        <w:t>p</w:t>
      </w:r>
      <w:r w:rsidR="00746F25" w:rsidRPr="00746F25">
        <w:rPr>
          <w:rFonts w:eastAsia="Times New Roman"/>
          <w:sz w:val="20"/>
          <w:szCs w:val="20"/>
          <w:lang w:val="en-US"/>
        </w:rPr>
        <w:t>repar</w:t>
      </w:r>
      <w:r w:rsidR="00B406B8" w:rsidRPr="00844939">
        <w:rPr>
          <w:rFonts w:eastAsia="Times New Roman"/>
          <w:sz w:val="20"/>
          <w:szCs w:val="20"/>
          <w:lang w:val="en-US"/>
        </w:rPr>
        <w:t>e</w:t>
      </w:r>
      <w:r w:rsidR="00746F25" w:rsidRPr="00746F25">
        <w:rPr>
          <w:rFonts w:eastAsia="Times New Roman"/>
          <w:sz w:val="20"/>
          <w:szCs w:val="20"/>
          <w:lang w:val="en-US"/>
        </w:rPr>
        <w:t xml:space="preserve"> primary health and other personnel to fulfil an assistive technology role</w:t>
      </w:r>
      <w:r w:rsidR="00B406B8" w:rsidRPr="00844939">
        <w:rPr>
          <w:rFonts w:eastAsia="Times New Roman"/>
          <w:sz w:val="20"/>
          <w:szCs w:val="20"/>
          <w:lang w:val="en-US"/>
        </w:rPr>
        <w:t xml:space="preserve"> and </w:t>
      </w:r>
      <w:r w:rsidR="00B406B8" w:rsidRPr="00844939">
        <w:rPr>
          <w:rFonts w:eastAsia="Times New Roman"/>
          <w:sz w:val="20"/>
          <w:szCs w:val="20"/>
        </w:rPr>
        <w:t>s</w:t>
      </w:r>
      <w:r w:rsidR="00746F25" w:rsidRPr="00746F25">
        <w:rPr>
          <w:rFonts w:eastAsia="Times New Roman"/>
          <w:sz w:val="20"/>
          <w:szCs w:val="20"/>
        </w:rPr>
        <w:t>upport countries on the road to universal health coverage</w:t>
      </w:r>
      <w:r w:rsidR="00B406B8" w:rsidRPr="00844939">
        <w:rPr>
          <w:rFonts w:eastAsia="Times New Roman"/>
          <w:sz w:val="20"/>
          <w:szCs w:val="20"/>
        </w:rPr>
        <w:t>.</w:t>
      </w:r>
      <w:r w:rsidR="00B406B8" w:rsidRPr="00844939">
        <w:rPr>
          <w:rFonts w:asciiTheme="majorBidi" w:hAnsiTheme="majorBidi" w:cstheme="majorBidi"/>
          <w:sz w:val="20"/>
          <w:szCs w:val="20"/>
        </w:rPr>
        <w:t xml:space="preserve"> </w:t>
      </w:r>
      <w:r w:rsidR="00785E4D" w:rsidRPr="00844939">
        <w:rPr>
          <w:rFonts w:asciiTheme="majorBidi" w:hAnsiTheme="majorBidi" w:cstheme="majorBidi"/>
          <w:sz w:val="20"/>
          <w:szCs w:val="20"/>
        </w:rPr>
        <w:t xml:space="preserve">TAP targets community and primary level personnel and </w:t>
      </w:r>
      <w:r w:rsidR="00BA4655" w:rsidRPr="00844939">
        <w:rPr>
          <w:rFonts w:asciiTheme="majorBidi" w:hAnsiTheme="majorBidi" w:cstheme="majorBidi"/>
          <w:sz w:val="20"/>
          <w:szCs w:val="20"/>
        </w:rPr>
        <w:t>non-assistive</w:t>
      </w:r>
      <w:r w:rsidR="00785E4D" w:rsidRPr="00844939">
        <w:rPr>
          <w:rFonts w:asciiTheme="majorBidi" w:hAnsiTheme="majorBidi" w:cstheme="majorBidi"/>
          <w:sz w:val="20"/>
          <w:szCs w:val="20"/>
        </w:rPr>
        <w:t xml:space="preserve"> technology specialist health care personnel who are expected to fulfil an assistive technology role; TAP is also relevant for rehabilitation, nursing and medical personnel who do not have formal training in assistive technology. The TAP online platform is designed for TAP learners, mentors and coordinators</w:t>
      </w:r>
      <w:r w:rsidR="004A7D47">
        <w:rPr>
          <w:rFonts w:asciiTheme="majorBidi" w:hAnsiTheme="majorBidi" w:cstheme="majorBidi"/>
          <w:sz w:val="20"/>
          <w:szCs w:val="20"/>
        </w:rPr>
        <w:t xml:space="preserve"> and offers 22 modules </w:t>
      </w:r>
      <w:r w:rsidR="006477CD">
        <w:rPr>
          <w:rFonts w:asciiTheme="majorBidi" w:hAnsiTheme="majorBidi" w:cstheme="majorBidi"/>
          <w:sz w:val="20"/>
          <w:szCs w:val="20"/>
        </w:rPr>
        <w:t>divided into 6 streams</w:t>
      </w:r>
      <w:r w:rsidR="009D527C">
        <w:rPr>
          <w:rFonts w:asciiTheme="majorBidi" w:hAnsiTheme="majorBidi" w:cstheme="majorBidi"/>
          <w:sz w:val="20"/>
          <w:szCs w:val="20"/>
        </w:rPr>
        <w:t xml:space="preserve">: </w:t>
      </w:r>
      <w:r w:rsidR="006477CD" w:rsidRPr="006477CD">
        <w:rPr>
          <w:rFonts w:asciiTheme="majorBidi" w:hAnsiTheme="majorBidi" w:cstheme="majorBidi"/>
          <w:sz w:val="20"/>
          <w:szCs w:val="20"/>
          <w:lang w:val="en-US"/>
        </w:rPr>
        <w:t>Cognition</w:t>
      </w:r>
      <w:r w:rsidR="009D527C">
        <w:rPr>
          <w:rFonts w:asciiTheme="majorBidi" w:hAnsiTheme="majorBidi" w:cstheme="majorBidi"/>
          <w:sz w:val="20"/>
          <w:szCs w:val="20"/>
        </w:rPr>
        <w:t xml:space="preserve">, </w:t>
      </w:r>
      <w:r w:rsidR="006477CD" w:rsidRPr="006477CD">
        <w:rPr>
          <w:rFonts w:asciiTheme="majorBidi" w:hAnsiTheme="majorBidi" w:cstheme="majorBidi"/>
          <w:sz w:val="20"/>
          <w:szCs w:val="20"/>
          <w:lang w:val="en-US"/>
        </w:rPr>
        <w:t>Communication</w:t>
      </w:r>
      <w:r w:rsidR="009D527C">
        <w:rPr>
          <w:rFonts w:asciiTheme="majorBidi" w:hAnsiTheme="majorBidi" w:cstheme="majorBidi"/>
          <w:sz w:val="20"/>
          <w:szCs w:val="20"/>
        </w:rPr>
        <w:t xml:space="preserve">, </w:t>
      </w:r>
      <w:r w:rsidR="006477CD" w:rsidRPr="006477CD">
        <w:rPr>
          <w:rFonts w:asciiTheme="majorBidi" w:hAnsiTheme="majorBidi" w:cstheme="majorBidi"/>
          <w:sz w:val="20"/>
          <w:szCs w:val="20"/>
          <w:lang w:val="en-US"/>
        </w:rPr>
        <w:t>Vision</w:t>
      </w:r>
      <w:r w:rsidR="009D527C">
        <w:rPr>
          <w:rFonts w:asciiTheme="majorBidi" w:hAnsiTheme="majorBidi" w:cstheme="majorBidi"/>
          <w:sz w:val="20"/>
          <w:szCs w:val="20"/>
        </w:rPr>
        <w:t xml:space="preserve">, </w:t>
      </w:r>
      <w:r w:rsidR="006477CD" w:rsidRPr="006477CD">
        <w:rPr>
          <w:rFonts w:asciiTheme="majorBidi" w:hAnsiTheme="majorBidi" w:cstheme="majorBidi"/>
          <w:sz w:val="20"/>
          <w:szCs w:val="20"/>
          <w:lang w:val="en-US"/>
        </w:rPr>
        <w:t>Hearing</w:t>
      </w:r>
      <w:r w:rsidR="009D527C">
        <w:rPr>
          <w:rFonts w:asciiTheme="majorBidi" w:hAnsiTheme="majorBidi" w:cstheme="majorBidi"/>
          <w:sz w:val="20"/>
          <w:szCs w:val="20"/>
        </w:rPr>
        <w:t xml:space="preserve">, </w:t>
      </w:r>
      <w:r w:rsidR="006477CD" w:rsidRPr="006477CD">
        <w:rPr>
          <w:rFonts w:asciiTheme="majorBidi" w:hAnsiTheme="majorBidi" w:cstheme="majorBidi"/>
          <w:sz w:val="20"/>
          <w:szCs w:val="20"/>
          <w:lang w:val="en-US"/>
        </w:rPr>
        <w:t>Self-care</w:t>
      </w:r>
      <w:r w:rsidR="009D527C">
        <w:rPr>
          <w:rFonts w:asciiTheme="majorBidi" w:hAnsiTheme="majorBidi" w:cstheme="majorBidi"/>
          <w:sz w:val="20"/>
          <w:szCs w:val="20"/>
        </w:rPr>
        <w:t xml:space="preserve">, and </w:t>
      </w:r>
      <w:r w:rsidR="006477CD" w:rsidRPr="006477CD">
        <w:rPr>
          <w:rFonts w:asciiTheme="majorBidi" w:hAnsiTheme="majorBidi" w:cstheme="majorBidi"/>
          <w:sz w:val="20"/>
          <w:szCs w:val="20"/>
          <w:lang w:val="en-US"/>
        </w:rPr>
        <w:t>Mobility</w:t>
      </w:r>
      <w:r w:rsidR="00785E4D" w:rsidRPr="00844939">
        <w:rPr>
          <w:rFonts w:asciiTheme="majorBidi" w:hAnsiTheme="majorBidi" w:cstheme="majorBidi"/>
          <w:sz w:val="20"/>
          <w:szCs w:val="20"/>
        </w:rPr>
        <w:t>. TAP uses a blended learning approach and is delivered with the assistance of mentors. These are usually personnel in the implementation country with the required knowledge and expertise.</w:t>
      </w:r>
      <w:r w:rsidR="008F6F09" w:rsidRPr="00844939">
        <w:rPr>
          <w:rFonts w:asciiTheme="majorBidi" w:hAnsiTheme="majorBidi" w:cstheme="majorBidi"/>
          <w:sz w:val="20"/>
          <w:szCs w:val="20"/>
        </w:rPr>
        <w:t xml:space="preserve"> </w:t>
      </w:r>
      <w:r w:rsidR="00785E4D" w:rsidRPr="00844939">
        <w:rPr>
          <w:rFonts w:asciiTheme="majorBidi" w:hAnsiTheme="majorBidi" w:cstheme="majorBidi"/>
          <w:sz w:val="20"/>
          <w:szCs w:val="20"/>
        </w:rPr>
        <w:t xml:space="preserve">Mentors contextualise training content, provide learners with support during online training, and facilitate practical sessions. In-country implementation of TAP is almost always supported by a project coordinator [24-29]. </w:t>
      </w:r>
      <w:r w:rsidR="002824C8" w:rsidRPr="00844939">
        <w:rPr>
          <w:rFonts w:asciiTheme="majorBidi" w:hAnsiTheme="majorBidi" w:cstheme="majorBidi"/>
          <w:sz w:val="20"/>
          <w:szCs w:val="20"/>
        </w:rPr>
        <w:t xml:space="preserve">The </w:t>
      </w:r>
      <w:r w:rsidR="00785E4D" w:rsidRPr="00844939">
        <w:rPr>
          <w:rFonts w:asciiTheme="majorBidi" w:hAnsiTheme="majorBidi" w:cstheme="majorBidi"/>
          <w:sz w:val="20"/>
          <w:szCs w:val="20"/>
        </w:rPr>
        <w:t xml:space="preserve">WHO recommends that TAP is implemented as one component of a comprehensive programme of support to strengthen assistive technology, rather than as an isolated training activity. Comprehensive support ideally includes addressing the policy, systems and resources needed for personnel to fulfil an assistive technology role after training. A </w:t>
      </w:r>
      <w:r w:rsidR="00064F43">
        <w:rPr>
          <w:rFonts w:asciiTheme="majorBidi" w:hAnsiTheme="majorBidi" w:cstheme="majorBidi"/>
          <w:sz w:val="20"/>
          <w:szCs w:val="20"/>
        </w:rPr>
        <w:t>c</w:t>
      </w:r>
      <w:r w:rsidR="00785E4D" w:rsidRPr="00844939">
        <w:rPr>
          <w:rFonts w:asciiTheme="majorBidi" w:hAnsiTheme="majorBidi" w:cstheme="majorBidi"/>
          <w:sz w:val="20"/>
          <w:szCs w:val="20"/>
        </w:rPr>
        <w:t xml:space="preserve">oordinators’ web page on the TAP platform provides guidance to assist project </w:t>
      </w:r>
      <w:r w:rsidR="00064F43">
        <w:rPr>
          <w:rFonts w:asciiTheme="majorBidi" w:hAnsiTheme="majorBidi" w:cstheme="majorBidi"/>
          <w:sz w:val="20"/>
          <w:szCs w:val="20"/>
        </w:rPr>
        <w:t>c</w:t>
      </w:r>
      <w:r w:rsidR="00785E4D" w:rsidRPr="00844939">
        <w:rPr>
          <w:rFonts w:asciiTheme="majorBidi" w:hAnsiTheme="majorBidi" w:cstheme="majorBidi"/>
          <w:sz w:val="20"/>
          <w:szCs w:val="20"/>
        </w:rPr>
        <w:t xml:space="preserve">oordinators in this comprehensive approach to programme planning, </w:t>
      </w:r>
      <w:r w:rsidR="003A24E9" w:rsidRPr="00844939">
        <w:rPr>
          <w:rFonts w:asciiTheme="majorBidi" w:hAnsiTheme="majorBidi" w:cstheme="majorBidi"/>
          <w:sz w:val="20"/>
          <w:szCs w:val="20"/>
        </w:rPr>
        <w:t>implementation,</w:t>
      </w:r>
      <w:r w:rsidR="00785E4D" w:rsidRPr="00844939">
        <w:rPr>
          <w:rFonts w:asciiTheme="majorBidi" w:hAnsiTheme="majorBidi" w:cstheme="majorBidi"/>
          <w:sz w:val="20"/>
          <w:szCs w:val="20"/>
        </w:rPr>
        <w:t xml:space="preserve"> and evaluation [23-28]. </w:t>
      </w:r>
    </w:p>
    <w:p w14:paraId="23BBE2B3" w14:textId="06AF1469" w:rsidR="00B0355C" w:rsidRPr="00844939" w:rsidRDefault="0097524B" w:rsidP="00B0355C">
      <w:pPr>
        <w:pStyle w:val="Abstract"/>
        <w:spacing w:line="276" w:lineRule="auto"/>
        <w:ind w:left="0"/>
        <w:rPr>
          <w:rFonts w:asciiTheme="majorBidi" w:hAnsiTheme="majorBidi" w:cstheme="majorBidi"/>
          <w:sz w:val="20"/>
          <w:szCs w:val="20"/>
        </w:rPr>
      </w:pPr>
      <w:r w:rsidRPr="007264FD">
        <w:rPr>
          <w:noProof/>
          <w:color w:val="156082" w:themeColor="accent1"/>
          <w:sz w:val="20"/>
          <w:szCs w:val="20"/>
        </w:rPr>
        <w:drawing>
          <wp:anchor distT="0" distB="0" distL="114300" distR="114300" simplePos="0" relativeHeight="251663360" behindDoc="1" locked="0" layoutInCell="1" allowOverlap="1" wp14:anchorId="5D438F43" wp14:editId="432E75A9">
            <wp:simplePos x="0" y="0"/>
            <wp:positionH relativeFrom="margin">
              <wp:posOffset>3584575</wp:posOffset>
            </wp:positionH>
            <wp:positionV relativeFrom="paragraph">
              <wp:posOffset>1379325</wp:posOffset>
            </wp:positionV>
            <wp:extent cx="2238375" cy="1610995"/>
            <wp:effectExtent l="0" t="0" r="9525" b="8255"/>
            <wp:wrapTight wrapText="bothSides">
              <wp:wrapPolygon edited="0">
                <wp:start x="0" y="0"/>
                <wp:lineTo x="0" y="21455"/>
                <wp:lineTo x="21508" y="21455"/>
                <wp:lineTo x="21508" y="0"/>
                <wp:lineTo x="0" y="0"/>
              </wp:wrapPolygon>
            </wp:wrapTight>
            <wp:docPr id="1026" name="Picture 2" descr="Three images of primary health workers: Image 1: Two people in Liberia, one using crutches. Image 2: Tajikistan learners viewing TAP tablets/laptops. Image 3: Group of learners in Ghana and the TAP logo">
              <a:extLst xmlns:a="http://schemas.openxmlformats.org/drawingml/2006/main">
                <a:ext uri="{FF2B5EF4-FFF2-40B4-BE49-F238E27FC236}">
                  <a16:creationId xmlns:a16="http://schemas.microsoft.com/office/drawing/2014/main" id="{125DFA24-1DDA-0687-14CE-5D71084F6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ree images of primary health workers: Image 1: Two people in Liberia, one using crutches. Image 2: Tajikistan learners viewing TAP tablets/laptops. Image 3: Group of learners in Ghana and the TAP logo">
                      <a:extLst>
                        <a:ext uri="{FF2B5EF4-FFF2-40B4-BE49-F238E27FC236}">
                          <a16:creationId xmlns:a16="http://schemas.microsoft.com/office/drawing/2014/main" id="{125DFA24-1DDA-0687-14CE-5D71084F65DC}"/>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610995"/>
                    </a:xfrm>
                    <a:prstGeom prst="rect">
                      <a:avLst/>
                    </a:prstGeom>
                    <a:noFill/>
                  </pic:spPr>
                </pic:pic>
              </a:graphicData>
            </a:graphic>
            <wp14:sizeRelH relativeFrom="margin">
              <wp14:pctWidth>0</wp14:pctWidth>
            </wp14:sizeRelH>
            <wp14:sizeRelV relativeFrom="margin">
              <wp14:pctHeight>0</wp14:pctHeight>
            </wp14:sizeRelV>
          </wp:anchor>
        </w:drawing>
      </w:r>
      <w:r w:rsidR="00785E4D" w:rsidRPr="007264FD">
        <w:rPr>
          <w:rFonts w:asciiTheme="majorBidi" w:hAnsiTheme="majorBidi" w:cstheme="majorBidi"/>
          <w:b/>
          <w:bCs/>
          <w:color w:val="156082" w:themeColor="accent1"/>
          <w:sz w:val="20"/>
          <w:szCs w:val="20"/>
        </w:rPr>
        <w:t>TAP Platform as a data collection tool:</w:t>
      </w:r>
      <w:r w:rsidR="00785E4D" w:rsidRPr="007264FD">
        <w:rPr>
          <w:rFonts w:asciiTheme="majorBidi" w:hAnsiTheme="majorBidi" w:cstheme="majorBidi"/>
          <w:color w:val="156082" w:themeColor="accent1"/>
          <w:sz w:val="20"/>
          <w:szCs w:val="20"/>
        </w:rPr>
        <w:t xml:space="preserve"> </w:t>
      </w:r>
      <w:r w:rsidR="00785E4D" w:rsidRPr="00844939">
        <w:rPr>
          <w:rFonts w:asciiTheme="majorBidi" w:hAnsiTheme="majorBidi" w:cstheme="majorBidi"/>
          <w:sz w:val="20"/>
          <w:szCs w:val="20"/>
        </w:rPr>
        <w:t>The TAP online platform has inbuilt capacity to collect, with informed consent, descriptive information about TAP users and to host surveys. This function of the TAP platform offers a unique opportunity to build an understanding of the characteristics of the community and primary workforce and their mentors. It also enables the capture of TAP user perspectives across multiple countries and contexts regarding the relevance, impact and challenges of TAP training and practice. This data has the potential to inform future TAP development and other strategies intended to expand and support the assistive technology workforce, and ultimately to increase access to assistive technology [25-31].</w:t>
      </w:r>
    </w:p>
    <w:p w14:paraId="0E87F4FB" w14:textId="30F373D2" w:rsidR="003970BA" w:rsidRPr="008345DE" w:rsidRDefault="00074B63" w:rsidP="008345DE">
      <w:pPr>
        <w:pStyle w:val="Abstract"/>
        <w:spacing w:line="276" w:lineRule="auto"/>
        <w:ind w:left="0"/>
        <w:rPr>
          <w:rFonts w:asciiTheme="majorBidi" w:hAnsiTheme="majorBidi" w:cstheme="majorBidi"/>
          <w:sz w:val="20"/>
          <w:szCs w:val="20"/>
        </w:rPr>
      </w:pPr>
      <w:r w:rsidRPr="007264FD">
        <w:rPr>
          <w:rFonts w:eastAsia="Times New Roman"/>
          <w:b/>
          <w:bCs/>
          <w:color w:val="156082" w:themeColor="accent1"/>
          <w:sz w:val="20"/>
          <w:szCs w:val="20"/>
          <w:lang w:val="en-US"/>
        </w:rPr>
        <w:t xml:space="preserve">WHO TAP </w:t>
      </w:r>
      <w:r w:rsidR="00204770" w:rsidRPr="007264FD">
        <w:rPr>
          <w:b/>
          <w:bCs/>
          <w:color w:val="156082" w:themeColor="accent1"/>
          <w:sz w:val="20"/>
          <w:szCs w:val="20"/>
        </w:rPr>
        <w:t>impact:</w:t>
      </w:r>
      <w:r w:rsidR="008345DE" w:rsidRPr="007264FD">
        <w:rPr>
          <w:b/>
          <w:bCs/>
          <w:color w:val="156082" w:themeColor="accent1"/>
          <w:sz w:val="20"/>
          <w:szCs w:val="20"/>
        </w:rPr>
        <w:t xml:space="preserve"> </w:t>
      </w:r>
      <w:r w:rsidR="007B304F" w:rsidRPr="007B304F">
        <w:rPr>
          <w:rFonts w:eastAsia="Times New Roman"/>
          <w:sz w:val="20"/>
          <w:szCs w:val="20"/>
          <w:lang w:val="en-US"/>
        </w:rPr>
        <w:t>One TAP learner said:</w:t>
      </w:r>
      <w:r w:rsidR="00204770" w:rsidRPr="00844939">
        <w:rPr>
          <w:sz w:val="20"/>
          <w:szCs w:val="20"/>
        </w:rPr>
        <w:t xml:space="preserve"> </w:t>
      </w:r>
      <w:r w:rsidR="007B304F" w:rsidRPr="007B304F">
        <w:rPr>
          <w:rFonts w:eastAsia="Times New Roman"/>
          <w:sz w:val="20"/>
          <w:szCs w:val="20"/>
          <w:lang w:val="en-US"/>
        </w:rPr>
        <w:t>"This is an amazing platform to learn about assistive technology with very informative and interactive modules!”.</w:t>
      </w:r>
      <w:r w:rsidR="008345DE">
        <w:rPr>
          <w:rFonts w:eastAsia="Times New Roman"/>
          <w:sz w:val="20"/>
          <w:szCs w:val="20"/>
          <w:lang w:val="en-US"/>
        </w:rPr>
        <w:t xml:space="preserve"> </w:t>
      </w:r>
      <w:r w:rsidR="00B6237A" w:rsidRPr="00B6237A">
        <w:rPr>
          <w:rFonts w:eastAsia="Times New Roman"/>
          <w:sz w:val="20"/>
          <w:szCs w:val="20"/>
        </w:rPr>
        <w:t xml:space="preserve">TAP is a key component of </w:t>
      </w:r>
      <w:r w:rsidR="00B6237A" w:rsidRPr="00844939">
        <w:rPr>
          <w:sz w:val="20"/>
          <w:szCs w:val="20"/>
        </w:rPr>
        <w:t>comprehensive</w:t>
      </w:r>
      <w:r w:rsidR="00EE5FA9" w:rsidRPr="00844939">
        <w:rPr>
          <w:rFonts w:asciiTheme="majorBidi" w:hAnsiTheme="majorBidi" w:cstheme="majorBidi"/>
          <w:sz w:val="20"/>
          <w:szCs w:val="20"/>
        </w:rPr>
        <w:t xml:space="preserve"> assistive technology</w:t>
      </w:r>
      <w:r w:rsidR="00B6237A" w:rsidRPr="00B6237A">
        <w:rPr>
          <w:rFonts w:eastAsia="Times New Roman"/>
          <w:sz w:val="20"/>
          <w:szCs w:val="20"/>
        </w:rPr>
        <w:t xml:space="preserve"> </w:t>
      </w:r>
      <w:r w:rsidR="007677E2" w:rsidRPr="00844939">
        <w:rPr>
          <w:sz w:val="20"/>
          <w:szCs w:val="20"/>
        </w:rPr>
        <w:t xml:space="preserve">services </w:t>
      </w:r>
      <w:r w:rsidR="00B6237A" w:rsidRPr="00B6237A">
        <w:rPr>
          <w:rFonts w:eastAsia="Times New Roman"/>
          <w:sz w:val="20"/>
          <w:szCs w:val="20"/>
        </w:rPr>
        <w:t>and training.</w:t>
      </w:r>
      <w:r w:rsidR="00B6237A" w:rsidRPr="00844939">
        <w:rPr>
          <w:sz w:val="20"/>
          <w:szCs w:val="20"/>
        </w:rPr>
        <w:t xml:space="preserve"> </w:t>
      </w:r>
      <w:r w:rsidR="00B6237A" w:rsidRPr="00B6237A">
        <w:rPr>
          <w:rFonts w:eastAsia="Times New Roman"/>
          <w:sz w:val="20"/>
          <w:szCs w:val="20"/>
        </w:rPr>
        <w:t>To date, TAP is the only readily available comprehensive multi-language</w:t>
      </w:r>
      <w:r w:rsidR="00EE5FA9" w:rsidRPr="00844939">
        <w:rPr>
          <w:sz w:val="20"/>
          <w:szCs w:val="20"/>
        </w:rPr>
        <w:t xml:space="preserve"> </w:t>
      </w:r>
      <w:r w:rsidR="00EE5FA9" w:rsidRPr="00844939">
        <w:rPr>
          <w:rFonts w:asciiTheme="majorBidi" w:hAnsiTheme="majorBidi" w:cstheme="majorBidi"/>
          <w:sz w:val="20"/>
          <w:szCs w:val="20"/>
        </w:rPr>
        <w:t>assistive technology</w:t>
      </w:r>
      <w:r w:rsidR="00B6237A" w:rsidRPr="00B6237A">
        <w:rPr>
          <w:rFonts w:eastAsia="Times New Roman"/>
          <w:sz w:val="20"/>
          <w:szCs w:val="20"/>
        </w:rPr>
        <w:t xml:space="preserve"> educational online open access global resource that supports educators and learners and helps professionalize and develop </w:t>
      </w:r>
      <w:r w:rsidR="00EE5FA9" w:rsidRPr="00844939">
        <w:rPr>
          <w:rFonts w:asciiTheme="majorBidi" w:hAnsiTheme="majorBidi" w:cstheme="majorBidi"/>
          <w:sz w:val="20"/>
          <w:szCs w:val="20"/>
        </w:rPr>
        <w:t>assistive technology</w:t>
      </w:r>
      <w:r w:rsidR="00B6237A" w:rsidRPr="00B6237A">
        <w:rPr>
          <w:rFonts w:eastAsia="Times New Roman"/>
          <w:sz w:val="20"/>
          <w:szCs w:val="20"/>
        </w:rPr>
        <w:t xml:space="preserve"> knowledge and hands-on skills.</w:t>
      </w:r>
      <w:r w:rsidR="007677E2" w:rsidRPr="00844939">
        <w:rPr>
          <w:sz w:val="20"/>
          <w:szCs w:val="20"/>
        </w:rPr>
        <w:t xml:space="preserve"> </w:t>
      </w:r>
      <w:r w:rsidR="00B6237A" w:rsidRPr="00B6237A">
        <w:rPr>
          <w:rFonts w:eastAsia="Times New Roman"/>
          <w:sz w:val="20"/>
          <w:szCs w:val="20"/>
        </w:rPr>
        <w:t>Integrating TAP into</w:t>
      </w:r>
      <w:r w:rsidR="00EE5FA9" w:rsidRPr="00844939">
        <w:rPr>
          <w:sz w:val="20"/>
          <w:szCs w:val="20"/>
        </w:rPr>
        <w:t xml:space="preserve"> healthcare systems </w:t>
      </w:r>
      <w:r w:rsidR="00B6237A" w:rsidRPr="00B6237A">
        <w:rPr>
          <w:rFonts w:eastAsia="Times New Roman"/>
          <w:sz w:val="20"/>
          <w:szCs w:val="20"/>
        </w:rPr>
        <w:t>helps improv</w:t>
      </w:r>
      <w:r w:rsidR="00A05920" w:rsidRPr="00844939">
        <w:rPr>
          <w:sz w:val="20"/>
          <w:szCs w:val="20"/>
        </w:rPr>
        <w:t>e</w:t>
      </w:r>
      <w:r w:rsidR="00B6237A" w:rsidRPr="00B6237A">
        <w:rPr>
          <w:rFonts w:eastAsia="Times New Roman"/>
          <w:sz w:val="20"/>
          <w:szCs w:val="20"/>
        </w:rPr>
        <w:t xml:space="preserve"> the quality of </w:t>
      </w:r>
      <w:r w:rsidR="00A05920" w:rsidRPr="00844939">
        <w:rPr>
          <w:rFonts w:asciiTheme="majorBidi" w:hAnsiTheme="majorBidi" w:cstheme="majorBidi"/>
          <w:sz w:val="20"/>
          <w:szCs w:val="20"/>
        </w:rPr>
        <w:t>assistive technology</w:t>
      </w:r>
      <w:r w:rsidR="00A05920" w:rsidRPr="00844939">
        <w:rPr>
          <w:sz w:val="20"/>
          <w:szCs w:val="20"/>
        </w:rPr>
        <w:t xml:space="preserve"> </w:t>
      </w:r>
      <w:r w:rsidR="00B6237A" w:rsidRPr="00B6237A">
        <w:rPr>
          <w:rFonts w:eastAsia="Times New Roman"/>
          <w:sz w:val="20"/>
          <w:szCs w:val="20"/>
        </w:rPr>
        <w:t>service provision</w:t>
      </w:r>
      <w:r w:rsidR="00494865" w:rsidRPr="00844939">
        <w:rPr>
          <w:sz w:val="20"/>
          <w:szCs w:val="20"/>
        </w:rPr>
        <w:t xml:space="preserve"> and </w:t>
      </w:r>
      <w:r w:rsidR="00CF2054" w:rsidRPr="00844939">
        <w:rPr>
          <w:sz w:val="20"/>
          <w:szCs w:val="20"/>
        </w:rPr>
        <w:t xml:space="preserve">increase access to </w:t>
      </w:r>
      <w:r w:rsidR="00DC3CD6" w:rsidRPr="00844939">
        <w:rPr>
          <w:sz w:val="20"/>
          <w:szCs w:val="20"/>
        </w:rPr>
        <w:t>affordable</w:t>
      </w:r>
      <w:r w:rsidR="004323C5" w:rsidRPr="00844939">
        <w:rPr>
          <w:rFonts w:asciiTheme="majorBidi" w:hAnsiTheme="majorBidi" w:cstheme="majorBidi"/>
          <w:sz w:val="20"/>
          <w:szCs w:val="20"/>
        </w:rPr>
        <w:t xml:space="preserve"> assistive technologies worldwide</w:t>
      </w:r>
      <w:r w:rsidR="00B6237A" w:rsidRPr="00B6237A">
        <w:rPr>
          <w:rFonts w:eastAsia="Times New Roman"/>
          <w:sz w:val="20"/>
          <w:szCs w:val="20"/>
        </w:rPr>
        <w:t xml:space="preserve">. </w:t>
      </w:r>
    </w:p>
    <w:p w14:paraId="11AF0600" w14:textId="44B02136" w:rsidR="00C558D8" w:rsidRPr="00844939" w:rsidRDefault="00410044" w:rsidP="008345DE">
      <w:pPr>
        <w:bidi w:val="0"/>
        <w:spacing w:line="276" w:lineRule="auto"/>
        <w:rPr>
          <w:rFonts w:asciiTheme="majorBidi" w:hAnsiTheme="majorBidi" w:cstheme="majorBidi"/>
          <w:sz w:val="20"/>
          <w:szCs w:val="20"/>
        </w:rPr>
      </w:pPr>
      <w:r w:rsidRPr="007264FD">
        <w:rPr>
          <w:rFonts w:asciiTheme="majorBidi" w:hAnsiTheme="majorBidi" w:cstheme="majorBidi"/>
          <w:b/>
          <w:bCs/>
          <w:color w:val="156082" w:themeColor="accent1"/>
          <w:sz w:val="20"/>
          <w:szCs w:val="20"/>
        </w:rPr>
        <w:t>Get involved!</w:t>
      </w:r>
      <w:r w:rsidR="009F724B" w:rsidRPr="007264FD">
        <w:rPr>
          <w:rFonts w:asciiTheme="majorBidi" w:hAnsiTheme="majorBidi" w:cstheme="majorBidi"/>
          <w:b/>
          <w:bCs/>
          <w:color w:val="156082" w:themeColor="accent1"/>
          <w:sz w:val="20"/>
          <w:szCs w:val="20"/>
        </w:rPr>
        <w:t xml:space="preserve"> </w:t>
      </w:r>
      <w:r w:rsidR="00C558D8" w:rsidRPr="007264FD">
        <w:rPr>
          <w:rFonts w:asciiTheme="majorBidi" w:hAnsiTheme="majorBidi" w:cstheme="majorBidi"/>
          <w:b/>
          <w:bCs/>
          <w:color w:val="156082" w:themeColor="accent1"/>
          <w:sz w:val="20"/>
          <w:szCs w:val="20"/>
        </w:rPr>
        <w:t>Join WHO TAP global community and enjoy learning</w:t>
      </w:r>
      <w:r w:rsidR="009F724B" w:rsidRPr="007264FD">
        <w:rPr>
          <w:rFonts w:asciiTheme="majorBidi" w:hAnsiTheme="majorBidi" w:cstheme="majorBidi"/>
          <w:b/>
          <w:bCs/>
          <w:color w:val="156082" w:themeColor="accent1"/>
          <w:sz w:val="20"/>
          <w:szCs w:val="20"/>
        </w:rPr>
        <w:t xml:space="preserve">: </w:t>
      </w:r>
      <w:r w:rsidR="004D48D9" w:rsidRPr="00844939">
        <w:rPr>
          <w:rFonts w:asciiTheme="majorBidi" w:hAnsiTheme="majorBidi" w:cstheme="majorBidi"/>
          <w:sz w:val="20"/>
          <w:szCs w:val="20"/>
        </w:rPr>
        <w:t>Healthcare</w:t>
      </w:r>
      <w:r w:rsidR="00C558D8" w:rsidRPr="00C558D8">
        <w:rPr>
          <w:rFonts w:asciiTheme="majorBidi" w:hAnsiTheme="majorBidi" w:cstheme="majorBidi"/>
          <w:sz w:val="20"/>
          <w:szCs w:val="20"/>
          <w:lang w:val="en-GB"/>
        </w:rPr>
        <w:t xml:space="preserve"> professionals worldwide are among the primary skilled personnel who play core role as leaders and change agents at the front line of </w:t>
      </w:r>
      <w:r w:rsidR="00352BE9" w:rsidRPr="00844939">
        <w:rPr>
          <w:rFonts w:asciiTheme="majorBidi" w:hAnsiTheme="majorBidi" w:cstheme="majorBidi"/>
          <w:sz w:val="20"/>
          <w:szCs w:val="20"/>
          <w:lang w:val="en-GB"/>
        </w:rPr>
        <w:t>assistive technology</w:t>
      </w:r>
      <w:r w:rsidR="00C558D8" w:rsidRPr="00C558D8">
        <w:rPr>
          <w:rFonts w:asciiTheme="majorBidi" w:hAnsiTheme="majorBidi" w:cstheme="majorBidi"/>
          <w:sz w:val="20"/>
          <w:szCs w:val="20"/>
          <w:lang w:val="en-GB"/>
        </w:rPr>
        <w:t xml:space="preserve"> provision and advocacy efforts and can provide unique insight regarding </w:t>
      </w:r>
      <w:r w:rsidR="00352BE9" w:rsidRPr="00844939">
        <w:rPr>
          <w:rFonts w:asciiTheme="majorBidi" w:hAnsiTheme="majorBidi" w:cstheme="majorBidi"/>
          <w:sz w:val="20"/>
          <w:szCs w:val="20"/>
          <w:lang w:val="en-GB"/>
        </w:rPr>
        <w:t xml:space="preserve">assistive technology </w:t>
      </w:r>
      <w:r w:rsidR="00C558D8" w:rsidRPr="00C558D8">
        <w:rPr>
          <w:rFonts w:asciiTheme="majorBidi" w:hAnsiTheme="majorBidi" w:cstheme="majorBidi"/>
          <w:sz w:val="20"/>
          <w:szCs w:val="20"/>
          <w:lang w:val="en-GB"/>
        </w:rPr>
        <w:t>access and use across the world.</w:t>
      </w:r>
      <w:r w:rsidR="008345DE">
        <w:rPr>
          <w:rFonts w:asciiTheme="majorBidi" w:hAnsiTheme="majorBidi" w:cstheme="majorBidi"/>
          <w:sz w:val="20"/>
          <w:szCs w:val="20"/>
        </w:rPr>
        <w:t xml:space="preserve"> </w:t>
      </w:r>
      <w:r w:rsidR="00C558D8" w:rsidRPr="00844939">
        <w:rPr>
          <w:rFonts w:asciiTheme="majorBidi" w:hAnsiTheme="majorBidi" w:cstheme="majorBidi"/>
          <w:sz w:val="20"/>
          <w:szCs w:val="20"/>
        </w:rPr>
        <w:t>To learn more about</w:t>
      </w:r>
      <w:r w:rsidR="00A27C1F">
        <w:rPr>
          <w:rFonts w:asciiTheme="majorBidi" w:hAnsiTheme="majorBidi" w:cstheme="majorBidi"/>
          <w:sz w:val="20"/>
          <w:szCs w:val="20"/>
        </w:rPr>
        <w:t xml:space="preserve"> </w:t>
      </w:r>
      <w:r w:rsidR="005E138F" w:rsidRPr="00844939">
        <w:rPr>
          <w:rFonts w:asciiTheme="majorBidi" w:hAnsiTheme="majorBidi" w:cstheme="majorBidi"/>
          <w:sz w:val="20"/>
          <w:szCs w:val="20"/>
        </w:rPr>
        <w:t>TAP</w:t>
      </w:r>
      <w:r w:rsidR="00C558D8" w:rsidRPr="00844939">
        <w:rPr>
          <w:rFonts w:asciiTheme="majorBidi" w:hAnsiTheme="majorBidi" w:cstheme="majorBidi"/>
          <w:sz w:val="20"/>
          <w:szCs w:val="20"/>
        </w:rPr>
        <w:t xml:space="preserve">, please visit </w:t>
      </w:r>
      <w:r w:rsidR="00222BCB" w:rsidRPr="00844939">
        <w:rPr>
          <w:rFonts w:asciiTheme="majorBidi" w:hAnsiTheme="majorBidi" w:cstheme="majorBidi"/>
          <w:sz w:val="20"/>
          <w:szCs w:val="20"/>
        </w:rPr>
        <w:t>TAP</w:t>
      </w:r>
      <w:r w:rsidR="00177C1E" w:rsidRPr="00844939">
        <w:rPr>
          <w:rFonts w:asciiTheme="majorBidi" w:hAnsiTheme="majorBidi" w:cstheme="majorBidi"/>
          <w:sz w:val="20"/>
          <w:szCs w:val="20"/>
        </w:rPr>
        <w:t xml:space="preserve"> </w:t>
      </w:r>
      <w:r w:rsidR="00A27C1F">
        <w:rPr>
          <w:rFonts w:asciiTheme="majorBidi" w:hAnsiTheme="majorBidi" w:cstheme="majorBidi"/>
          <w:sz w:val="20"/>
          <w:szCs w:val="20"/>
        </w:rPr>
        <w:t xml:space="preserve">site </w:t>
      </w:r>
      <w:r w:rsidR="00177C1E" w:rsidRPr="00844939">
        <w:rPr>
          <w:rFonts w:asciiTheme="majorBidi" w:hAnsiTheme="majorBidi" w:cstheme="majorBidi"/>
          <w:sz w:val="20"/>
          <w:szCs w:val="20"/>
        </w:rPr>
        <w:t>and watch</w:t>
      </w:r>
      <w:r w:rsidR="00204770" w:rsidRPr="00844939">
        <w:rPr>
          <w:rFonts w:asciiTheme="majorBidi" w:hAnsiTheme="majorBidi" w:cstheme="majorBidi"/>
          <w:sz w:val="20"/>
          <w:szCs w:val="20"/>
        </w:rPr>
        <w:t xml:space="preserve"> </w:t>
      </w:r>
      <w:r w:rsidR="00B81DB0">
        <w:rPr>
          <w:rFonts w:asciiTheme="majorBidi" w:hAnsiTheme="majorBidi" w:cstheme="majorBidi"/>
          <w:sz w:val="20"/>
          <w:szCs w:val="20"/>
        </w:rPr>
        <w:t>TAP</w:t>
      </w:r>
      <w:r w:rsidR="00222BCB" w:rsidRPr="00844939">
        <w:rPr>
          <w:rFonts w:asciiTheme="majorBidi" w:hAnsiTheme="majorBidi" w:cstheme="majorBidi"/>
          <w:sz w:val="20"/>
          <w:szCs w:val="20"/>
        </w:rPr>
        <w:t xml:space="preserve"> </w:t>
      </w:r>
      <w:r w:rsidR="00177C1E" w:rsidRPr="00844939">
        <w:rPr>
          <w:rFonts w:asciiTheme="majorBidi" w:hAnsiTheme="majorBidi" w:cstheme="majorBidi"/>
          <w:sz w:val="20"/>
          <w:szCs w:val="20"/>
        </w:rPr>
        <w:t>introductory video</w:t>
      </w:r>
      <w:r w:rsidR="005E138F" w:rsidRPr="00844939">
        <w:rPr>
          <w:rFonts w:asciiTheme="majorBidi" w:hAnsiTheme="majorBidi" w:cstheme="majorBidi"/>
          <w:sz w:val="20"/>
          <w:szCs w:val="20"/>
        </w:rPr>
        <w:t>:</w:t>
      </w:r>
      <w:r w:rsidR="00FF2230">
        <w:rPr>
          <w:rFonts w:asciiTheme="majorBidi" w:hAnsiTheme="majorBidi" w:cstheme="majorBidi"/>
          <w:sz w:val="20"/>
          <w:szCs w:val="20"/>
        </w:rPr>
        <w:t xml:space="preserve"> </w:t>
      </w:r>
      <w:hyperlink r:id="rId10" w:history="1">
        <w:r w:rsidR="0097524B" w:rsidRPr="00FE2541">
          <w:rPr>
            <w:rStyle w:val="Hyperlink"/>
            <w:rFonts w:asciiTheme="majorBidi" w:hAnsiTheme="majorBidi" w:cstheme="majorBidi"/>
            <w:sz w:val="20"/>
            <w:szCs w:val="20"/>
          </w:rPr>
          <w:t>https://www.gate-tap.org/</w:t>
        </w:r>
      </w:hyperlink>
      <w:r w:rsidR="00177C1E" w:rsidRPr="00844939">
        <w:rPr>
          <w:rFonts w:asciiTheme="majorBidi" w:hAnsiTheme="majorBidi" w:cstheme="majorBidi"/>
          <w:sz w:val="20"/>
          <w:szCs w:val="20"/>
        </w:rPr>
        <w:t xml:space="preserve"> </w:t>
      </w:r>
    </w:p>
    <w:p w14:paraId="53F124CA" w14:textId="19C009D0" w:rsidR="00BF6F7D" w:rsidRPr="007264FD" w:rsidRDefault="00BF6F7D" w:rsidP="007E51C2">
      <w:pPr>
        <w:bidi w:val="0"/>
        <w:rPr>
          <w:rFonts w:asciiTheme="majorBidi" w:hAnsiTheme="majorBidi" w:cstheme="majorBidi"/>
          <w:b/>
          <w:bCs/>
          <w:color w:val="156082" w:themeColor="accent1"/>
          <w:sz w:val="20"/>
          <w:szCs w:val="20"/>
        </w:rPr>
      </w:pPr>
      <w:r w:rsidRPr="007264FD">
        <w:rPr>
          <w:rFonts w:asciiTheme="majorBidi" w:hAnsiTheme="majorBidi" w:cstheme="majorBidi"/>
          <w:b/>
          <w:bCs/>
          <w:color w:val="156082" w:themeColor="accent1"/>
          <w:sz w:val="20"/>
          <w:szCs w:val="20"/>
        </w:rPr>
        <w:t>References:</w:t>
      </w:r>
    </w:p>
    <w:p w14:paraId="5B8D740E" w14:textId="02D36671" w:rsidR="00BF6F7D" w:rsidRPr="00844939" w:rsidRDefault="00BE02F8" w:rsidP="007E51C2">
      <w:pPr>
        <w:bidi w:val="0"/>
        <w:jc w:val="center"/>
        <w:rPr>
          <w:rFonts w:asciiTheme="majorBidi" w:hAnsiTheme="majorBidi" w:cstheme="majorBidi"/>
          <w:sz w:val="20"/>
          <w:szCs w:val="20"/>
        </w:rPr>
      </w:pPr>
      <w:r w:rsidRPr="00BE02F8">
        <w:rPr>
          <w:rFonts w:asciiTheme="majorBidi" w:hAnsiTheme="majorBidi" w:cstheme="majorBidi"/>
          <w:noProof/>
          <w:sz w:val="20"/>
          <w:szCs w:val="20"/>
        </w:rPr>
        <w:drawing>
          <wp:inline distT="0" distB="0" distL="0" distR="0" wp14:anchorId="5C4DCDFB" wp14:editId="20D41E17">
            <wp:extent cx="691763" cy="691763"/>
            <wp:effectExtent l="0" t="0" r="0" b="0"/>
            <wp:docPr id="56489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444" cy="698444"/>
                    </a:xfrm>
                    <a:prstGeom prst="rect">
                      <a:avLst/>
                    </a:prstGeom>
                    <a:noFill/>
                    <a:ln>
                      <a:noFill/>
                    </a:ln>
                  </pic:spPr>
                </pic:pic>
              </a:graphicData>
            </a:graphic>
          </wp:inline>
        </w:drawing>
      </w:r>
      <w:r w:rsidR="0091368C">
        <w:rPr>
          <w:rFonts w:asciiTheme="majorBidi" w:hAnsiTheme="majorBidi" w:cstheme="majorBidi"/>
          <w:sz w:val="20"/>
          <w:szCs w:val="20"/>
        </w:rPr>
        <w:t xml:space="preserve">                  </w:t>
      </w:r>
      <w:r w:rsidR="004323C5" w:rsidRPr="00844939">
        <w:rPr>
          <w:rFonts w:asciiTheme="majorBidi" w:hAnsiTheme="majorBidi" w:cstheme="majorBidi"/>
          <w:sz w:val="20"/>
          <w:szCs w:val="20"/>
        </w:rPr>
        <w:t xml:space="preserve">    </w:t>
      </w:r>
      <w:r w:rsidR="004323C5" w:rsidRPr="00844939">
        <w:rPr>
          <w:rFonts w:asciiTheme="majorBidi" w:hAnsiTheme="majorBidi" w:cstheme="majorBidi"/>
          <w:noProof/>
          <w:sz w:val="20"/>
          <w:szCs w:val="20"/>
        </w:rPr>
        <w:drawing>
          <wp:inline distT="0" distB="0" distL="0" distR="0" wp14:anchorId="764115BC" wp14:editId="4C87D6CF">
            <wp:extent cx="3133725" cy="694660"/>
            <wp:effectExtent l="0" t="0" r="0" b="0"/>
            <wp:docPr id="7" name="Content Placeholder 6" descr="A blue screen with white text&#10;&#10;Description automatically generated">
              <a:extLst xmlns:a="http://schemas.openxmlformats.org/drawingml/2006/main">
                <a:ext uri="{FF2B5EF4-FFF2-40B4-BE49-F238E27FC236}">
                  <a16:creationId xmlns:a16="http://schemas.microsoft.com/office/drawing/2014/main" id="{67976E49-730C-5629-700C-EAC14BA1DD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blue screen with white text&#10;&#10;Description automatically generated">
                      <a:extLst>
                        <a:ext uri="{FF2B5EF4-FFF2-40B4-BE49-F238E27FC236}">
                          <a16:creationId xmlns:a16="http://schemas.microsoft.com/office/drawing/2014/main" id="{67976E49-730C-5629-700C-EAC14BA1DD81}"/>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2878" cy="763191"/>
                    </a:xfrm>
                    <a:prstGeom prst="rect">
                      <a:avLst/>
                    </a:prstGeom>
                  </pic:spPr>
                </pic:pic>
              </a:graphicData>
            </a:graphic>
          </wp:inline>
        </w:drawing>
      </w:r>
    </w:p>
    <w:sectPr w:rsidR="00BF6F7D" w:rsidRPr="0084493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F5A96" w14:textId="77777777" w:rsidR="00DA507A" w:rsidRDefault="00DA507A" w:rsidP="00222BCB">
      <w:r>
        <w:separator/>
      </w:r>
    </w:p>
  </w:endnote>
  <w:endnote w:type="continuationSeparator" w:id="0">
    <w:p w14:paraId="3A13A284" w14:textId="77777777" w:rsidR="00DA507A" w:rsidRDefault="00DA507A" w:rsidP="0022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D2A5" w14:textId="77777777" w:rsidR="0021466A" w:rsidRDefault="00214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0E2841" w:themeColor="text2"/>
        <w:sz w:val="20"/>
        <w:szCs w:val="20"/>
        <w:rtl/>
      </w:rPr>
      <w:id w:val="-632640914"/>
      <w:docPartObj>
        <w:docPartGallery w:val="Page Numbers (Bottom of Page)"/>
        <w:docPartUnique/>
      </w:docPartObj>
    </w:sdtPr>
    <w:sdtEndPr>
      <w:rPr>
        <w:spacing w:val="60"/>
      </w:rPr>
    </w:sdtEndPr>
    <w:sdtContent>
      <w:p w14:paraId="6B757887" w14:textId="60746A79" w:rsidR="005055AD" w:rsidRPr="005055AD" w:rsidRDefault="005055AD">
        <w:pPr>
          <w:pStyle w:val="Footer"/>
          <w:pBdr>
            <w:top w:val="single" w:sz="4" w:space="1" w:color="D9D9D9" w:themeColor="background1" w:themeShade="D9"/>
          </w:pBdr>
          <w:rPr>
            <w:b/>
            <w:bCs/>
            <w:color w:val="0E2841" w:themeColor="text2"/>
            <w:sz w:val="20"/>
            <w:szCs w:val="20"/>
          </w:rPr>
        </w:pPr>
        <w:r w:rsidRPr="005055AD">
          <w:rPr>
            <w:b/>
            <w:bCs/>
            <w:color w:val="0E2841" w:themeColor="text2"/>
            <w:sz w:val="20"/>
            <w:szCs w:val="20"/>
          </w:rPr>
          <w:fldChar w:fldCharType="begin"/>
        </w:r>
        <w:r w:rsidRPr="005055AD">
          <w:rPr>
            <w:b/>
            <w:bCs/>
            <w:color w:val="0E2841" w:themeColor="text2"/>
            <w:sz w:val="20"/>
            <w:szCs w:val="20"/>
          </w:rPr>
          <w:instrText xml:space="preserve"> PAGE   \* MERGEFORMAT </w:instrText>
        </w:r>
        <w:r w:rsidRPr="005055AD">
          <w:rPr>
            <w:b/>
            <w:bCs/>
            <w:color w:val="0E2841" w:themeColor="text2"/>
            <w:sz w:val="20"/>
            <w:szCs w:val="20"/>
          </w:rPr>
          <w:fldChar w:fldCharType="separate"/>
        </w:r>
        <w:r w:rsidRPr="005055AD">
          <w:rPr>
            <w:b/>
            <w:bCs/>
            <w:noProof/>
            <w:color w:val="0E2841" w:themeColor="text2"/>
            <w:sz w:val="20"/>
            <w:szCs w:val="20"/>
          </w:rPr>
          <w:t>2</w:t>
        </w:r>
        <w:r w:rsidRPr="005055AD">
          <w:rPr>
            <w:b/>
            <w:bCs/>
            <w:noProof/>
            <w:color w:val="0E2841" w:themeColor="text2"/>
            <w:sz w:val="20"/>
            <w:szCs w:val="20"/>
          </w:rPr>
          <w:fldChar w:fldCharType="end"/>
        </w:r>
        <w:r w:rsidRPr="005055AD">
          <w:rPr>
            <w:b/>
            <w:bCs/>
            <w:color w:val="0E2841" w:themeColor="text2"/>
            <w:sz w:val="20"/>
            <w:szCs w:val="20"/>
          </w:rPr>
          <w:t xml:space="preserve"> | </w:t>
        </w:r>
        <w:r w:rsidRPr="005055AD">
          <w:rPr>
            <w:b/>
            <w:bCs/>
            <w:color w:val="0E2841" w:themeColor="text2"/>
            <w:spacing w:val="60"/>
            <w:sz w:val="20"/>
            <w:szCs w:val="20"/>
          </w:rPr>
          <w:t>Page</w:t>
        </w:r>
      </w:p>
    </w:sdtContent>
  </w:sdt>
  <w:p w14:paraId="5F395A4B" w14:textId="77777777" w:rsidR="00222BCB" w:rsidRPr="005055AD" w:rsidRDefault="00222BCB" w:rsidP="001923EC">
    <w:pPr>
      <w:pStyle w:val="Footer"/>
      <w:rPr>
        <w:b/>
        <w:bCs/>
        <w:color w:val="0E2841" w:themeColor="text2"/>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A655" w14:textId="77777777" w:rsidR="0021466A" w:rsidRDefault="00214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4CAFF" w14:textId="77777777" w:rsidR="00DA507A" w:rsidRDefault="00DA507A" w:rsidP="00222BCB">
      <w:r>
        <w:separator/>
      </w:r>
    </w:p>
  </w:footnote>
  <w:footnote w:type="continuationSeparator" w:id="0">
    <w:p w14:paraId="230FB6BF" w14:textId="77777777" w:rsidR="00DA507A" w:rsidRDefault="00DA507A" w:rsidP="00222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31B7" w14:textId="77777777" w:rsidR="0021466A" w:rsidRDefault="00214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9DD4" w14:textId="18C38D60" w:rsidR="00E01C94" w:rsidRDefault="00E01C94" w:rsidP="00C82B14">
    <w:pPr>
      <w:pStyle w:val="Header"/>
      <w:bidi w:val="0"/>
      <w:jc w:val="center"/>
      <w:rPr>
        <w:b/>
        <w:bCs/>
        <w:color w:val="0E2841" w:themeColor="text2"/>
        <w:sz w:val="20"/>
        <w:szCs w:val="20"/>
      </w:rPr>
    </w:pPr>
    <w:r w:rsidRPr="003B424B">
      <w:rPr>
        <w:b/>
        <w:bCs/>
        <w:color w:val="0E2841" w:themeColor="text2"/>
        <w:sz w:val="20"/>
        <w:szCs w:val="20"/>
      </w:rPr>
      <w:t xml:space="preserve">Training in Assistive Products (TAP): </w:t>
    </w:r>
    <w:r w:rsidR="00C82B14" w:rsidRPr="003B424B">
      <w:rPr>
        <w:b/>
        <w:bCs/>
        <w:color w:val="0E2841" w:themeColor="text2"/>
        <w:sz w:val="20"/>
        <w:szCs w:val="20"/>
      </w:rPr>
      <w:t xml:space="preserve">Overview, </w:t>
    </w:r>
    <w:r w:rsidRPr="003B424B">
      <w:rPr>
        <w:b/>
        <w:bCs/>
        <w:color w:val="0E2841" w:themeColor="text2"/>
        <w:sz w:val="20"/>
        <w:szCs w:val="20"/>
      </w:rPr>
      <w:t xml:space="preserve">Key </w:t>
    </w:r>
    <w:r w:rsidR="007C3CE1" w:rsidRPr="003B424B">
      <w:rPr>
        <w:b/>
        <w:bCs/>
        <w:color w:val="0E2841" w:themeColor="text2"/>
        <w:sz w:val="20"/>
        <w:szCs w:val="20"/>
      </w:rPr>
      <w:t>F</w:t>
    </w:r>
    <w:r w:rsidRPr="003B424B">
      <w:rPr>
        <w:b/>
        <w:bCs/>
        <w:color w:val="0E2841" w:themeColor="text2"/>
        <w:sz w:val="20"/>
        <w:szCs w:val="20"/>
      </w:rPr>
      <w:t>acts,</w:t>
    </w:r>
    <w:r w:rsidR="00C82B14" w:rsidRPr="003B424B">
      <w:rPr>
        <w:b/>
        <w:bCs/>
        <w:color w:val="0E2841" w:themeColor="text2"/>
        <w:sz w:val="20"/>
        <w:szCs w:val="20"/>
      </w:rPr>
      <w:t xml:space="preserve"> </w:t>
    </w:r>
    <w:r w:rsidR="003356E9" w:rsidRPr="003B424B">
      <w:rPr>
        <w:b/>
        <w:bCs/>
        <w:color w:val="0E2841" w:themeColor="text2"/>
        <w:sz w:val="20"/>
        <w:szCs w:val="20"/>
      </w:rPr>
      <w:t>WHO Response,</w:t>
    </w:r>
    <w:r w:rsidR="00470078" w:rsidRPr="003B424B">
      <w:rPr>
        <w:b/>
        <w:bCs/>
        <w:color w:val="0E2841" w:themeColor="text2"/>
        <w:sz w:val="20"/>
        <w:szCs w:val="20"/>
      </w:rPr>
      <w:t xml:space="preserve"> </w:t>
    </w:r>
    <w:r w:rsidR="007C3CE1" w:rsidRPr="003B424B">
      <w:rPr>
        <w:b/>
        <w:bCs/>
        <w:color w:val="0E2841" w:themeColor="text2"/>
        <w:sz w:val="20"/>
        <w:szCs w:val="20"/>
      </w:rPr>
      <w:t xml:space="preserve">TAP </w:t>
    </w:r>
    <w:r w:rsidR="00B670C7" w:rsidRPr="003B424B">
      <w:rPr>
        <w:b/>
        <w:bCs/>
        <w:color w:val="0E2841" w:themeColor="text2"/>
        <w:sz w:val="20"/>
        <w:szCs w:val="20"/>
      </w:rPr>
      <w:t>Implementation &amp; Impact</w:t>
    </w:r>
    <w:r w:rsidRPr="003B424B">
      <w:rPr>
        <w:b/>
        <w:bCs/>
        <w:color w:val="0E2841" w:themeColor="text2"/>
        <w:sz w:val="20"/>
        <w:szCs w:val="20"/>
      </w:rPr>
      <w:t xml:space="preserve"> </w:t>
    </w:r>
  </w:p>
  <w:p w14:paraId="05D84943" w14:textId="70885340" w:rsidR="0021466A" w:rsidRPr="003B424B" w:rsidRDefault="0021466A" w:rsidP="0021466A">
    <w:pPr>
      <w:pStyle w:val="Header"/>
      <w:bidi w:val="0"/>
      <w:jc w:val="center"/>
      <w:rPr>
        <w:b/>
        <w:bCs/>
        <w:color w:val="0E2841" w:themeColor="text2"/>
        <w:sz w:val="20"/>
        <w:szCs w:val="20"/>
      </w:rPr>
    </w:pPr>
    <w:r>
      <w:rPr>
        <w:b/>
        <w:bCs/>
        <w:color w:val="0E2841" w:themeColor="text2"/>
        <w:sz w:val="20"/>
        <w:szCs w:val="20"/>
      </w:rPr>
      <w:t>Developed by: Hassan I. Sarsak (PhD, OT)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2E3B" w14:textId="77777777" w:rsidR="0021466A" w:rsidRDefault="00214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C7025"/>
    <w:multiLevelType w:val="hybridMultilevel"/>
    <w:tmpl w:val="31B0B9BE"/>
    <w:lvl w:ilvl="0" w:tplc="29A61E26">
      <w:start w:val="1"/>
      <w:numFmt w:val="bullet"/>
      <w:lvlText w:val="•"/>
      <w:lvlJc w:val="left"/>
      <w:pPr>
        <w:tabs>
          <w:tab w:val="num" w:pos="720"/>
        </w:tabs>
        <w:ind w:left="720" w:hanging="360"/>
      </w:pPr>
      <w:rPr>
        <w:rFonts w:ascii="Arial" w:hAnsi="Arial" w:hint="default"/>
      </w:rPr>
    </w:lvl>
    <w:lvl w:ilvl="1" w:tplc="E6C01426">
      <w:start w:val="1"/>
      <w:numFmt w:val="bullet"/>
      <w:lvlText w:val="•"/>
      <w:lvlJc w:val="left"/>
      <w:pPr>
        <w:tabs>
          <w:tab w:val="num" w:pos="1440"/>
        </w:tabs>
        <w:ind w:left="1440" w:hanging="360"/>
      </w:pPr>
      <w:rPr>
        <w:rFonts w:ascii="Arial" w:hAnsi="Arial" w:hint="default"/>
      </w:rPr>
    </w:lvl>
    <w:lvl w:ilvl="2" w:tplc="62803D32" w:tentative="1">
      <w:start w:val="1"/>
      <w:numFmt w:val="bullet"/>
      <w:lvlText w:val="•"/>
      <w:lvlJc w:val="left"/>
      <w:pPr>
        <w:tabs>
          <w:tab w:val="num" w:pos="2160"/>
        </w:tabs>
        <w:ind w:left="2160" w:hanging="360"/>
      </w:pPr>
      <w:rPr>
        <w:rFonts w:ascii="Arial" w:hAnsi="Arial" w:hint="default"/>
      </w:rPr>
    </w:lvl>
    <w:lvl w:ilvl="3" w:tplc="FFBEB4EA" w:tentative="1">
      <w:start w:val="1"/>
      <w:numFmt w:val="bullet"/>
      <w:lvlText w:val="•"/>
      <w:lvlJc w:val="left"/>
      <w:pPr>
        <w:tabs>
          <w:tab w:val="num" w:pos="2880"/>
        </w:tabs>
        <w:ind w:left="2880" w:hanging="360"/>
      </w:pPr>
      <w:rPr>
        <w:rFonts w:ascii="Arial" w:hAnsi="Arial" w:hint="default"/>
      </w:rPr>
    </w:lvl>
    <w:lvl w:ilvl="4" w:tplc="EA405DC8" w:tentative="1">
      <w:start w:val="1"/>
      <w:numFmt w:val="bullet"/>
      <w:lvlText w:val="•"/>
      <w:lvlJc w:val="left"/>
      <w:pPr>
        <w:tabs>
          <w:tab w:val="num" w:pos="3600"/>
        </w:tabs>
        <w:ind w:left="3600" w:hanging="360"/>
      </w:pPr>
      <w:rPr>
        <w:rFonts w:ascii="Arial" w:hAnsi="Arial" w:hint="default"/>
      </w:rPr>
    </w:lvl>
    <w:lvl w:ilvl="5" w:tplc="3DEC0C94" w:tentative="1">
      <w:start w:val="1"/>
      <w:numFmt w:val="bullet"/>
      <w:lvlText w:val="•"/>
      <w:lvlJc w:val="left"/>
      <w:pPr>
        <w:tabs>
          <w:tab w:val="num" w:pos="4320"/>
        </w:tabs>
        <w:ind w:left="4320" w:hanging="360"/>
      </w:pPr>
      <w:rPr>
        <w:rFonts w:ascii="Arial" w:hAnsi="Arial" w:hint="default"/>
      </w:rPr>
    </w:lvl>
    <w:lvl w:ilvl="6" w:tplc="CBC26668" w:tentative="1">
      <w:start w:val="1"/>
      <w:numFmt w:val="bullet"/>
      <w:lvlText w:val="•"/>
      <w:lvlJc w:val="left"/>
      <w:pPr>
        <w:tabs>
          <w:tab w:val="num" w:pos="5040"/>
        </w:tabs>
        <w:ind w:left="5040" w:hanging="360"/>
      </w:pPr>
      <w:rPr>
        <w:rFonts w:ascii="Arial" w:hAnsi="Arial" w:hint="default"/>
      </w:rPr>
    </w:lvl>
    <w:lvl w:ilvl="7" w:tplc="148CC482" w:tentative="1">
      <w:start w:val="1"/>
      <w:numFmt w:val="bullet"/>
      <w:lvlText w:val="•"/>
      <w:lvlJc w:val="left"/>
      <w:pPr>
        <w:tabs>
          <w:tab w:val="num" w:pos="5760"/>
        </w:tabs>
        <w:ind w:left="5760" w:hanging="360"/>
      </w:pPr>
      <w:rPr>
        <w:rFonts w:ascii="Arial" w:hAnsi="Arial" w:hint="default"/>
      </w:rPr>
    </w:lvl>
    <w:lvl w:ilvl="8" w:tplc="4AF051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7F50E1C"/>
    <w:multiLevelType w:val="hybridMultilevel"/>
    <w:tmpl w:val="0E18EEB0"/>
    <w:lvl w:ilvl="0" w:tplc="786C2320">
      <w:start w:val="1"/>
      <w:numFmt w:val="bullet"/>
      <w:lvlText w:val="●"/>
      <w:lvlJc w:val="left"/>
      <w:pPr>
        <w:tabs>
          <w:tab w:val="num" w:pos="720"/>
        </w:tabs>
        <w:ind w:left="720" w:hanging="360"/>
      </w:pPr>
      <w:rPr>
        <w:rFonts w:ascii="Arial" w:hAnsi="Arial" w:hint="default"/>
      </w:rPr>
    </w:lvl>
    <w:lvl w:ilvl="1" w:tplc="FE20B412" w:tentative="1">
      <w:start w:val="1"/>
      <w:numFmt w:val="bullet"/>
      <w:lvlText w:val="●"/>
      <w:lvlJc w:val="left"/>
      <w:pPr>
        <w:tabs>
          <w:tab w:val="num" w:pos="1440"/>
        </w:tabs>
        <w:ind w:left="1440" w:hanging="360"/>
      </w:pPr>
      <w:rPr>
        <w:rFonts w:ascii="Arial" w:hAnsi="Arial" w:hint="default"/>
      </w:rPr>
    </w:lvl>
    <w:lvl w:ilvl="2" w:tplc="88CC75C6" w:tentative="1">
      <w:start w:val="1"/>
      <w:numFmt w:val="bullet"/>
      <w:lvlText w:val="●"/>
      <w:lvlJc w:val="left"/>
      <w:pPr>
        <w:tabs>
          <w:tab w:val="num" w:pos="2160"/>
        </w:tabs>
        <w:ind w:left="2160" w:hanging="360"/>
      </w:pPr>
      <w:rPr>
        <w:rFonts w:ascii="Arial" w:hAnsi="Arial" w:hint="default"/>
      </w:rPr>
    </w:lvl>
    <w:lvl w:ilvl="3" w:tplc="BA060F9A" w:tentative="1">
      <w:start w:val="1"/>
      <w:numFmt w:val="bullet"/>
      <w:lvlText w:val="●"/>
      <w:lvlJc w:val="left"/>
      <w:pPr>
        <w:tabs>
          <w:tab w:val="num" w:pos="2880"/>
        </w:tabs>
        <w:ind w:left="2880" w:hanging="360"/>
      </w:pPr>
      <w:rPr>
        <w:rFonts w:ascii="Arial" w:hAnsi="Arial" w:hint="default"/>
      </w:rPr>
    </w:lvl>
    <w:lvl w:ilvl="4" w:tplc="E0C47888" w:tentative="1">
      <w:start w:val="1"/>
      <w:numFmt w:val="bullet"/>
      <w:lvlText w:val="●"/>
      <w:lvlJc w:val="left"/>
      <w:pPr>
        <w:tabs>
          <w:tab w:val="num" w:pos="3600"/>
        </w:tabs>
        <w:ind w:left="3600" w:hanging="360"/>
      </w:pPr>
      <w:rPr>
        <w:rFonts w:ascii="Arial" w:hAnsi="Arial" w:hint="default"/>
      </w:rPr>
    </w:lvl>
    <w:lvl w:ilvl="5" w:tplc="888287FA" w:tentative="1">
      <w:start w:val="1"/>
      <w:numFmt w:val="bullet"/>
      <w:lvlText w:val="●"/>
      <w:lvlJc w:val="left"/>
      <w:pPr>
        <w:tabs>
          <w:tab w:val="num" w:pos="4320"/>
        </w:tabs>
        <w:ind w:left="4320" w:hanging="360"/>
      </w:pPr>
      <w:rPr>
        <w:rFonts w:ascii="Arial" w:hAnsi="Arial" w:hint="default"/>
      </w:rPr>
    </w:lvl>
    <w:lvl w:ilvl="6" w:tplc="0B2AADE4" w:tentative="1">
      <w:start w:val="1"/>
      <w:numFmt w:val="bullet"/>
      <w:lvlText w:val="●"/>
      <w:lvlJc w:val="left"/>
      <w:pPr>
        <w:tabs>
          <w:tab w:val="num" w:pos="5040"/>
        </w:tabs>
        <w:ind w:left="5040" w:hanging="360"/>
      </w:pPr>
      <w:rPr>
        <w:rFonts w:ascii="Arial" w:hAnsi="Arial" w:hint="default"/>
      </w:rPr>
    </w:lvl>
    <w:lvl w:ilvl="7" w:tplc="A224C52C" w:tentative="1">
      <w:start w:val="1"/>
      <w:numFmt w:val="bullet"/>
      <w:lvlText w:val="●"/>
      <w:lvlJc w:val="left"/>
      <w:pPr>
        <w:tabs>
          <w:tab w:val="num" w:pos="5760"/>
        </w:tabs>
        <w:ind w:left="5760" w:hanging="360"/>
      </w:pPr>
      <w:rPr>
        <w:rFonts w:ascii="Arial" w:hAnsi="Arial" w:hint="default"/>
      </w:rPr>
    </w:lvl>
    <w:lvl w:ilvl="8" w:tplc="E63C46BC" w:tentative="1">
      <w:start w:val="1"/>
      <w:numFmt w:val="bullet"/>
      <w:lvlText w:val="●"/>
      <w:lvlJc w:val="left"/>
      <w:pPr>
        <w:tabs>
          <w:tab w:val="num" w:pos="6480"/>
        </w:tabs>
        <w:ind w:left="6480" w:hanging="360"/>
      </w:pPr>
      <w:rPr>
        <w:rFonts w:ascii="Arial" w:hAnsi="Arial" w:hint="default"/>
      </w:rPr>
    </w:lvl>
  </w:abstractNum>
  <w:num w:numId="1" w16cid:durableId="1993751042">
    <w:abstractNumId w:val="1"/>
  </w:num>
  <w:num w:numId="2" w16cid:durableId="1667391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70B"/>
    <w:rsid w:val="00030064"/>
    <w:rsid w:val="00041DC2"/>
    <w:rsid w:val="00045714"/>
    <w:rsid w:val="00064F43"/>
    <w:rsid w:val="00074B63"/>
    <w:rsid w:val="000B6EDF"/>
    <w:rsid w:val="00115D00"/>
    <w:rsid w:val="0016524E"/>
    <w:rsid w:val="00177C1E"/>
    <w:rsid w:val="001923EC"/>
    <w:rsid w:val="001F5B78"/>
    <w:rsid w:val="001F77E2"/>
    <w:rsid w:val="00200CB1"/>
    <w:rsid w:val="00204770"/>
    <w:rsid w:val="00204D55"/>
    <w:rsid w:val="0021466A"/>
    <w:rsid w:val="00222BCB"/>
    <w:rsid w:val="00251350"/>
    <w:rsid w:val="002824C8"/>
    <w:rsid w:val="0029468B"/>
    <w:rsid w:val="002A0766"/>
    <w:rsid w:val="002F36D4"/>
    <w:rsid w:val="003017DA"/>
    <w:rsid w:val="003356E9"/>
    <w:rsid w:val="00352BE9"/>
    <w:rsid w:val="003648E0"/>
    <w:rsid w:val="003970BA"/>
    <w:rsid w:val="003A24E9"/>
    <w:rsid w:val="003B070B"/>
    <w:rsid w:val="003B424B"/>
    <w:rsid w:val="003F0707"/>
    <w:rsid w:val="00410044"/>
    <w:rsid w:val="004217A6"/>
    <w:rsid w:val="004323C5"/>
    <w:rsid w:val="00451A22"/>
    <w:rsid w:val="004603C7"/>
    <w:rsid w:val="00470078"/>
    <w:rsid w:val="00494865"/>
    <w:rsid w:val="004A6785"/>
    <w:rsid w:val="004A7D47"/>
    <w:rsid w:val="004D48D9"/>
    <w:rsid w:val="005055AD"/>
    <w:rsid w:val="005101ED"/>
    <w:rsid w:val="00540E5F"/>
    <w:rsid w:val="0057205B"/>
    <w:rsid w:val="005800BC"/>
    <w:rsid w:val="005D67B4"/>
    <w:rsid w:val="005E138F"/>
    <w:rsid w:val="005E6022"/>
    <w:rsid w:val="005F0FD5"/>
    <w:rsid w:val="006361CD"/>
    <w:rsid w:val="00643F3B"/>
    <w:rsid w:val="00645268"/>
    <w:rsid w:val="006477CD"/>
    <w:rsid w:val="0068528A"/>
    <w:rsid w:val="006959C9"/>
    <w:rsid w:val="006B677C"/>
    <w:rsid w:val="006F019B"/>
    <w:rsid w:val="007264FD"/>
    <w:rsid w:val="00746F25"/>
    <w:rsid w:val="007677E2"/>
    <w:rsid w:val="00781233"/>
    <w:rsid w:val="00785E4D"/>
    <w:rsid w:val="007905D6"/>
    <w:rsid w:val="00792A5E"/>
    <w:rsid w:val="007A412C"/>
    <w:rsid w:val="007B304F"/>
    <w:rsid w:val="007C3CE1"/>
    <w:rsid w:val="007D1713"/>
    <w:rsid w:val="007D3863"/>
    <w:rsid w:val="007E51C2"/>
    <w:rsid w:val="008345DE"/>
    <w:rsid w:val="008357C7"/>
    <w:rsid w:val="00844939"/>
    <w:rsid w:val="008459A6"/>
    <w:rsid w:val="00850D06"/>
    <w:rsid w:val="008540EA"/>
    <w:rsid w:val="008610EC"/>
    <w:rsid w:val="00883E88"/>
    <w:rsid w:val="0088651D"/>
    <w:rsid w:val="008D7B42"/>
    <w:rsid w:val="008F6F09"/>
    <w:rsid w:val="00911AA0"/>
    <w:rsid w:val="0091368C"/>
    <w:rsid w:val="0092636A"/>
    <w:rsid w:val="00932075"/>
    <w:rsid w:val="00952203"/>
    <w:rsid w:val="0097524B"/>
    <w:rsid w:val="009D527C"/>
    <w:rsid w:val="009F724B"/>
    <w:rsid w:val="00A01C7D"/>
    <w:rsid w:val="00A05920"/>
    <w:rsid w:val="00A21E8F"/>
    <w:rsid w:val="00A27C1F"/>
    <w:rsid w:val="00A41284"/>
    <w:rsid w:val="00A67C8D"/>
    <w:rsid w:val="00AA1AE2"/>
    <w:rsid w:val="00AC144F"/>
    <w:rsid w:val="00B0355C"/>
    <w:rsid w:val="00B0641F"/>
    <w:rsid w:val="00B4008B"/>
    <w:rsid w:val="00B406B8"/>
    <w:rsid w:val="00B50E1A"/>
    <w:rsid w:val="00B5468B"/>
    <w:rsid w:val="00B6237A"/>
    <w:rsid w:val="00B64184"/>
    <w:rsid w:val="00B670C7"/>
    <w:rsid w:val="00B81DB0"/>
    <w:rsid w:val="00B85C24"/>
    <w:rsid w:val="00B9196D"/>
    <w:rsid w:val="00BA4655"/>
    <w:rsid w:val="00BE02F8"/>
    <w:rsid w:val="00BF6F7D"/>
    <w:rsid w:val="00C136BD"/>
    <w:rsid w:val="00C177BD"/>
    <w:rsid w:val="00C558D8"/>
    <w:rsid w:val="00C7572E"/>
    <w:rsid w:val="00C82B14"/>
    <w:rsid w:val="00C91C89"/>
    <w:rsid w:val="00CB3A66"/>
    <w:rsid w:val="00CD3882"/>
    <w:rsid w:val="00CD62F6"/>
    <w:rsid w:val="00CF2054"/>
    <w:rsid w:val="00D70BD9"/>
    <w:rsid w:val="00DA1EBC"/>
    <w:rsid w:val="00DA507A"/>
    <w:rsid w:val="00DA70E6"/>
    <w:rsid w:val="00DB271A"/>
    <w:rsid w:val="00DC374D"/>
    <w:rsid w:val="00DC3CD6"/>
    <w:rsid w:val="00DC692E"/>
    <w:rsid w:val="00E01C94"/>
    <w:rsid w:val="00E1740C"/>
    <w:rsid w:val="00E427CC"/>
    <w:rsid w:val="00E64160"/>
    <w:rsid w:val="00EE5FA9"/>
    <w:rsid w:val="00F472B7"/>
    <w:rsid w:val="00F77DE9"/>
    <w:rsid w:val="00FC25A7"/>
    <w:rsid w:val="00FF2230"/>
    <w:rsid w:val="00FF29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B8C14"/>
  <w15:chartTrackingRefBased/>
  <w15:docId w15:val="{DF191BE8-6ABB-41F4-8EFF-3BD44688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4D"/>
    <w:pPr>
      <w:bidi/>
      <w:spacing w:after="0" w:line="240" w:lineRule="auto"/>
    </w:pPr>
    <w:rPr>
      <w:rFonts w:ascii="Times New Roman" w:eastAsia="Times New Roman" w:hAnsi="Times New Roman" w:cs="Times New Roman"/>
      <w:kern w:val="0"/>
      <w:lang w:eastAsia="ar-SA"/>
      <w14:ligatures w14:val="none"/>
    </w:rPr>
  </w:style>
  <w:style w:type="paragraph" w:styleId="Heading1">
    <w:name w:val="heading 1"/>
    <w:basedOn w:val="Normal"/>
    <w:next w:val="Normal"/>
    <w:link w:val="Heading1Char"/>
    <w:uiPriority w:val="9"/>
    <w:qFormat/>
    <w:rsid w:val="003B07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07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07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7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07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07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7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7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7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7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07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07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07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07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07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7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7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70B"/>
    <w:rPr>
      <w:rFonts w:eastAsiaTheme="majorEastAsia" w:cstheme="majorBidi"/>
      <w:color w:val="272727" w:themeColor="text1" w:themeTint="D8"/>
    </w:rPr>
  </w:style>
  <w:style w:type="paragraph" w:styleId="Title">
    <w:name w:val="Title"/>
    <w:basedOn w:val="Normal"/>
    <w:next w:val="Normal"/>
    <w:link w:val="TitleChar"/>
    <w:uiPriority w:val="10"/>
    <w:qFormat/>
    <w:rsid w:val="003B07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7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7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7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70B"/>
    <w:pPr>
      <w:spacing w:before="160"/>
      <w:jc w:val="center"/>
    </w:pPr>
    <w:rPr>
      <w:i/>
      <w:iCs/>
      <w:color w:val="404040" w:themeColor="text1" w:themeTint="BF"/>
    </w:rPr>
  </w:style>
  <w:style w:type="character" w:customStyle="1" w:styleId="QuoteChar">
    <w:name w:val="Quote Char"/>
    <w:basedOn w:val="DefaultParagraphFont"/>
    <w:link w:val="Quote"/>
    <w:uiPriority w:val="29"/>
    <w:rsid w:val="003B070B"/>
    <w:rPr>
      <w:i/>
      <w:iCs/>
      <w:color w:val="404040" w:themeColor="text1" w:themeTint="BF"/>
    </w:rPr>
  </w:style>
  <w:style w:type="paragraph" w:styleId="ListParagraph">
    <w:name w:val="List Paragraph"/>
    <w:basedOn w:val="Normal"/>
    <w:uiPriority w:val="34"/>
    <w:qFormat/>
    <w:rsid w:val="003B070B"/>
    <w:pPr>
      <w:ind w:left="720"/>
      <w:contextualSpacing/>
    </w:pPr>
  </w:style>
  <w:style w:type="character" w:styleId="IntenseEmphasis">
    <w:name w:val="Intense Emphasis"/>
    <w:basedOn w:val="DefaultParagraphFont"/>
    <w:uiPriority w:val="21"/>
    <w:qFormat/>
    <w:rsid w:val="003B070B"/>
    <w:rPr>
      <w:i/>
      <w:iCs/>
      <w:color w:val="0F4761" w:themeColor="accent1" w:themeShade="BF"/>
    </w:rPr>
  </w:style>
  <w:style w:type="paragraph" w:styleId="IntenseQuote">
    <w:name w:val="Intense Quote"/>
    <w:basedOn w:val="Normal"/>
    <w:next w:val="Normal"/>
    <w:link w:val="IntenseQuoteChar"/>
    <w:uiPriority w:val="30"/>
    <w:qFormat/>
    <w:rsid w:val="003B07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070B"/>
    <w:rPr>
      <w:i/>
      <w:iCs/>
      <w:color w:val="0F4761" w:themeColor="accent1" w:themeShade="BF"/>
    </w:rPr>
  </w:style>
  <w:style w:type="character" w:styleId="IntenseReference">
    <w:name w:val="Intense Reference"/>
    <w:basedOn w:val="DefaultParagraphFont"/>
    <w:uiPriority w:val="32"/>
    <w:qFormat/>
    <w:rsid w:val="003B070B"/>
    <w:rPr>
      <w:b/>
      <w:bCs/>
      <w:smallCaps/>
      <w:color w:val="0F4761" w:themeColor="accent1" w:themeShade="BF"/>
      <w:spacing w:val="5"/>
    </w:rPr>
  </w:style>
  <w:style w:type="paragraph" w:customStyle="1" w:styleId="Abstract">
    <w:name w:val="Abstract"/>
    <w:basedOn w:val="Normal"/>
    <w:next w:val="Normal"/>
    <w:qFormat/>
    <w:rsid w:val="00785E4D"/>
    <w:pPr>
      <w:bidi w:val="0"/>
      <w:spacing w:line="360" w:lineRule="auto"/>
      <w:ind w:left="720" w:right="567"/>
    </w:pPr>
    <w:rPr>
      <w:rFonts w:eastAsia="SimSun"/>
      <w:sz w:val="22"/>
      <w:lang w:val="en-GB" w:eastAsia="en-GB"/>
    </w:rPr>
  </w:style>
  <w:style w:type="paragraph" w:customStyle="1" w:styleId="EndNoteBibliography">
    <w:name w:val="EndNote Bibliography"/>
    <w:basedOn w:val="Normal"/>
    <w:link w:val="EndNoteBibliographyChar"/>
    <w:rsid w:val="00A21E8F"/>
    <w:pPr>
      <w:bidi w:val="0"/>
      <w:spacing w:before="120" w:after="160"/>
      <w:jc w:val="both"/>
    </w:pPr>
    <w:rPr>
      <w:rFonts w:ascii="Calibri" w:hAnsi="Calibri" w:cs="Calibri"/>
      <w:noProof/>
      <w:sz w:val="22"/>
      <w:szCs w:val="28"/>
      <w:lang w:val="en-AU" w:eastAsia="zh-CN" w:bidi="th-TH"/>
    </w:rPr>
  </w:style>
  <w:style w:type="character" w:customStyle="1" w:styleId="EndNoteBibliographyChar">
    <w:name w:val="EndNote Bibliography Char"/>
    <w:link w:val="EndNoteBibliography"/>
    <w:rsid w:val="00A21E8F"/>
    <w:rPr>
      <w:rFonts w:ascii="Calibri" w:eastAsia="Times New Roman" w:hAnsi="Calibri" w:cs="Calibri"/>
      <w:noProof/>
      <w:kern w:val="0"/>
      <w:sz w:val="22"/>
      <w:szCs w:val="28"/>
      <w:lang w:val="en-AU" w:eastAsia="zh-CN" w:bidi="th-TH"/>
      <w14:ligatures w14:val="none"/>
    </w:rPr>
  </w:style>
  <w:style w:type="character" w:styleId="Hyperlink">
    <w:name w:val="Hyperlink"/>
    <w:basedOn w:val="DefaultParagraphFont"/>
    <w:uiPriority w:val="99"/>
    <w:unhideWhenUsed/>
    <w:rsid w:val="00177C1E"/>
    <w:rPr>
      <w:color w:val="467886" w:themeColor="hyperlink"/>
      <w:u w:val="single"/>
    </w:rPr>
  </w:style>
  <w:style w:type="character" w:styleId="UnresolvedMention">
    <w:name w:val="Unresolved Mention"/>
    <w:basedOn w:val="DefaultParagraphFont"/>
    <w:uiPriority w:val="99"/>
    <w:semiHidden/>
    <w:unhideWhenUsed/>
    <w:rsid w:val="00177C1E"/>
    <w:rPr>
      <w:color w:val="605E5C"/>
      <w:shd w:val="clear" w:color="auto" w:fill="E1DFDD"/>
    </w:rPr>
  </w:style>
  <w:style w:type="paragraph" w:styleId="Header">
    <w:name w:val="header"/>
    <w:basedOn w:val="Normal"/>
    <w:link w:val="HeaderChar"/>
    <w:uiPriority w:val="99"/>
    <w:unhideWhenUsed/>
    <w:rsid w:val="00222BCB"/>
    <w:pPr>
      <w:tabs>
        <w:tab w:val="center" w:pos="4680"/>
        <w:tab w:val="right" w:pos="9360"/>
      </w:tabs>
    </w:pPr>
  </w:style>
  <w:style w:type="character" w:customStyle="1" w:styleId="HeaderChar">
    <w:name w:val="Header Char"/>
    <w:basedOn w:val="DefaultParagraphFont"/>
    <w:link w:val="Header"/>
    <w:uiPriority w:val="99"/>
    <w:rsid w:val="00222BCB"/>
    <w:rPr>
      <w:rFonts w:ascii="Times New Roman" w:eastAsia="Times New Roman" w:hAnsi="Times New Roman" w:cs="Times New Roman"/>
      <w:kern w:val="0"/>
      <w:lang w:eastAsia="ar-SA"/>
      <w14:ligatures w14:val="none"/>
    </w:rPr>
  </w:style>
  <w:style w:type="paragraph" w:styleId="Footer">
    <w:name w:val="footer"/>
    <w:basedOn w:val="Normal"/>
    <w:link w:val="FooterChar"/>
    <w:uiPriority w:val="99"/>
    <w:unhideWhenUsed/>
    <w:rsid w:val="00222BCB"/>
    <w:pPr>
      <w:tabs>
        <w:tab w:val="center" w:pos="4680"/>
        <w:tab w:val="right" w:pos="9360"/>
      </w:tabs>
    </w:pPr>
  </w:style>
  <w:style w:type="character" w:customStyle="1" w:styleId="FooterChar">
    <w:name w:val="Footer Char"/>
    <w:basedOn w:val="DefaultParagraphFont"/>
    <w:link w:val="Footer"/>
    <w:uiPriority w:val="99"/>
    <w:rsid w:val="00222BCB"/>
    <w:rPr>
      <w:rFonts w:ascii="Times New Roman" w:eastAsia="Times New Roman" w:hAnsi="Times New Roman" w:cs="Times New Roman"/>
      <w:kern w:val="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967459">
      <w:bodyDiv w:val="1"/>
      <w:marLeft w:val="0"/>
      <w:marRight w:val="0"/>
      <w:marTop w:val="0"/>
      <w:marBottom w:val="0"/>
      <w:divBdr>
        <w:top w:val="none" w:sz="0" w:space="0" w:color="auto"/>
        <w:left w:val="none" w:sz="0" w:space="0" w:color="auto"/>
        <w:bottom w:val="none" w:sz="0" w:space="0" w:color="auto"/>
        <w:right w:val="none" w:sz="0" w:space="0" w:color="auto"/>
      </w:divBdr>
    </w:div>
    <w:div w:id="551314197">
      <w:bodyDiv w:val="1"/>
      <w:marLeft w:val="0"/>
      <w:marRight w:val="0"/>
      <w:marTop w:val="0"/>
      <w:marBottom w:val="0"/>
      <w:divBdr>
        <w:top w:val="none" w:sz="0" w:space="0" w:color="auto"/>
        <w:left w:val="none" w:sz="0" w:space="0" w:color="auto"/>
        <w:bottom w:val="none" w:sz="0" w:space="0" w:color="auto"/>
        <w:right w:val="none" w:sz="0" w:space="0" w:color="auto"/>
      </w:divBdr>
      <w:divsChild>
        <w:div w:id="105467881">
          <w:marLeft w:val="533"/>
          <w:marRight w:val="0"/>
          <w:marTop w:val="0"/>
          <w:marBottom w:val="0"/>
          <w:divBdr>
            <w:top w:val="none" w:sz="0" w:space="0" w:color="auto"/>
            <w:left w:val="none" w:sz="0" w:space="0" w:color="auto"/>
            <w:bottom w:val="none" w:sz="0" w:space="0" w:color="auto"/>
            <w:right w:val="none" w:sz="0" w:space="0" w:color="auto"/>
          </w:divBdr>
        </w:div>
        <w:div w:id="1709338141">
          <w:marLeft w:val="533"/>
          <w:marRight w:val="0"/>
          <w:marTop w:val="0"/>
          <w:marBottom w:val="0"/>
          <w:divBdr>
            <w:top w:val="none" w:sz="0" w:space="0" w:color="auto"/>
            <w:left w:val="none" w:sz="0" w:space="0" w:color="auto"/>
            <w:bottom w:val="none" w:sz="0" w:space="0" w:color="auto"/>
            <w:right w:val="none" w:sz="0" w:space="0" w:color="auto"/>
          </w:divBdr>
        </w:div>
        <w:div w:id="1906447502">
          <w:marLeft w:val="533"/>
          <w:marRight w:val="0"/>
          <w:marTop w:val="0"/>
          <w:marBottom w:val="0"/>
          <w:divBdr>
            <w:top w:val="none" w:sz="0" w:space="0" w:color="auto"/>
            <w:left w:val="none" w:sz="0" w:space="0" w:color="auto"/>
            <w:bottom w:val="none" w:sz="0" w:space="0" w:color="auto"/>
            <w:right w:val="none" w:sz="0" w:space="0" w:color="auto"/>
          </w:divBdr>
        </w:div>
      </w:divsChild>
    </w:div>
    <w:div w:id="928778535">
      <w:bodyDiv w:val="1"/>
      <w:marLeft w:val="0"/>
      <w:marRight w:val="0"/>
      <w:marTop w:val="0"/>
      <w:marBottom w:val="0"/>
      <w:divBdr>
        <w:top w:val="none" w:sz="0" w:space="0" w:color="auto"/>
        <w:left w:val="none" w:sz="0" w:space="0" w:color="auto"/>
        <w:bottom w:val="none" w:sz="0" w:space="0" w:color="auto"/>
        <w:right w:val="none" w:sz="0" w:space="0" w:color="auto"/>
      </w:divBdr>
    </w:div>
    <w:div w:id="1344091281">
      <w:bodyDiv w:val="1"/>
      <w:marLeft w:val="0"/>
      <w:marRight w:val="0"/>
      <w:marTop w:val="0"/>
      <w:marBottom w:val="0"/>
      <w:divBdr>
        <w:top w:val="none" w:sz="0" w:space="0" w:color="auto"/>
        <w:left w:val="none" w:sz="0" w:space="0" w:color="auto"/>
        <w:bottom w:val="none" w:sz="0" w:space="0" w:color="auto"/>
        <w:right w:val="none" w:sz="0" w:space="0" w:color="auto"/>
      </w:divBdr>
    </w:div>
    <w:div w:id="1702626385">
      <w:bodyDiv w:val="1"/>
      <w:marLeft w:val="0"/>
      <w:marRight w:val="0"/>
      <w:marTop w:val="0"/>
      <w:marBottom w:val="0"/>
      <w:divBdr>
        <w:top w:val="none" w:sz="0" w:space="0" w:color="auto"/>
        <w:left w:val="none" w:sz="0" w:space="0" w:color="auto"/>
        <w:bottom w:val="none" w:sz="0" w:space="0" w:color="auto"/>
        <w:right w:val="none" w:sz="0" w:space="0" w:color="auto"/>
      </w:divBdr>
    </w:div>
    <w:div w:id="1899583438">
      <w:bodyDiv w:val="1"/>
      <w:marLeft w:val="0"/>
      <w:marRight w:val="0"/>
      <w:marTop w:val="0"/>
      <w:marBottom w:val="0"/>
      <w:divBdr>
        <w:top w:val="none" w:sz="0" w:space="0" w:color="auto"/>
        <w:left w:val="none" w:sz="0" w:space="0" w:color="auto"/>
        <w:bottom w:val="none" w:sz="0" w:space="0" w:color="auto"/>
        <w:right w:val="none" w:sz="0" w:space="0" w:color="auto"/>
      </w:divBdr>
      <w:divsChild>
        <w:div w:id="1910730348">
          <w:marLeft w:val="1080"/>
          <w:marRight w:val="0"/>
          <w:marTop w:val="100"/>
          <w:marBottom w:val="0"/>
          <w:divBdr>
            <w:top w:val="none" w:sz="0" w:space="0" w:color="auto"/>
            <w:left w:val="none" w:sz="0" w:space="0" w:color="auto"/>
            <w:bottom w:val="none" w:sz="0" w:space="0" w:color="auto"/>
            <w:right w:val="none" w:sz="0" w:space="0" w:color="auto"/>
          </w:divBdr>
        </w:div>
        <w:div w:id="656691641">
          <w:marLeft w:val="1080"/>
          <w:marRight w:val="0"/>
          <w:marTop w:val="100"/>
          <w:marBottom w:val="0"/>
          <w:divBdr>
            <w:top w:val="none" w:sz="0" w:space="0" w:color="auto"/>
            <w:left w:val="none" w:sz="0" w:space="0" w:color="auto"/>
            <w:bottom w:val="none" w:sz="0" w:space="0" w:color="auto"/>
            <w:right w:val="none" w:sz="0" w:space="0" w:color="auto"/>
          </w:divBdr>
        </w:div>
        <w:div w:id="528106448">
          <w:marLeft w:val="1080"/>
          <w:marRight w:val="0"/>
          <w:marTop w:val="100"/>
          <w:marBottom w:val="0"/>
          <w:divBdr>
            <w:top w:val="none" w:sz="0" w:space="0" w:color="auto"/>
            <w:left w:val="none" w:sz="0" w:space="0" w:color="auto"/>
            <w:bottom w:val="none" w:sz="0" w:space="0" w:color="auto"/>
            <w:right w:val="none" w:sz="0" w:space="0" w:color="auto"/>
          </w:divBdr>
        </w:div>
        <w:div w:id="672073282">
          <w:marLeft w:val="1080"/>
          <w:marRight w:val="0"/>
          <w:marTop w:val="100"/>
          <w:marBottom w:val="0"/>
          <w:divBdr>
            <w:top w:val="none" w:sz="0" w:space="0" w:color="auto"/>
            <w:left w:val="none" w:sz="0" w:space="0" w:color="auto"/>
            <w:bottom w:val="none" w:sz="0" w:space="0" w:color="auto"/>
            <w:right w:val="none" w:sz="0" w:space="0" w:color="auto"/>
          </w:divBdr>
        </w:div>
        <w:div w:id="323365651">
          <w:marLeft w:val="1080"/>
          <w:marRight w:val="0"/>
          <w:marTop w:val="100"/>
          <w:marBottom w:val="0"/>
          <w:divBdr>
            <w:top w:val="none" w:sz="0" w:space="0" w:color="auto"/>
            <w:left w:val="none" w:sz="0" w:space="0" w:color="auto"/>
            <w:bottom w:val="none" w:sz="0" w:space="0" w:color="auto"/>
            <w:right w:val="none" w:sz="0" w:space="0" w:color="auto"/>
          </w:divBdr>
        </w:div>
        <w:div w:id="2142186242">
          <w:marLeft w:val="1080"/>
          <w:marRight w:val="0"/>
          <w:marTop w:val="100"/>
          <w:marBottom w:val="0"/>
          <w:divBdr>
            <w:top w:val="none" w:sz="0" w:space="0" w:color="auto"/>
            <w:left w:val="none" w:sz="0" w:space="0" w:color="auto"/>
            <w:bottom w:val="none" w:sz="0" w:space="0" w:color="auto"/>
            <w:right w:val="none" w:sz="0" w:space="0" w:color="auto"/>
          </w:divBdr>
        </w:div>
      </w:divsChild>
    </w:div>
    <w:div w:id="202921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ate-tap.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292</TotalTime>
  <Pages>2</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Hassan Izzeddin Yousef Sarsak</dc:creator>
  <cp:keywords/>
  <dc:description/>
  <cp:lastModifiedBy>Dr. Hassan Izzeddin Yousef Sarsak</cp:lastModifiedBy>
  <cp:revision>128</cp:revision>
  <dcterms:created xsi:type="dcterms:W3CDTF">2024-04-16T06:43:00Z</dcterms:created>
  <dcterms:modified xsi:type="dcterms:W3CDTF">2025-03-04T08:50:00Z</dcterms:modified>
</cp:coreProperties>
</file>