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860A623" w:rsidP="0860A623" w:rsidRDefault="0860A623" w14:paraId="4DD46F05" w14:textId="02E2C22C">
      <w:pPr>
        <w:pStyle w:val="Normal"/>
        <w:jc w:val="right"/>
      </w:pPr>
      <w:r>
        <w:drawing>
          <wp:inline wp14:editId="13FE1A0D" wp14:anchorId="37C3B373">
            <wp:extent cx="2066925" cy="962025"/>
            <wp:effectExtent l="0" t="0" r="0" b="0"/>
            <wp:docPr id="191894114" name="Picture" title="Text Box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561fa3fd35941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A23" w:rsidP="00BE4819" w:rsidRDefault="00215A23" w14:paraId="59C1FE79" w14:textId="77777777">
      <w:pPr>
        <w:rPr>
          <w:rFonts w:ascii="Calibri" w:hAnsi="Calibri" w:eastAsia="Times New Roman" w:cs="Calibri"/>
          <w:b/>
          <w:bCs/>
          <w:color w:val="000000"/>
        </w:rPr>
      </w:pPr>
    </w:p>
    <w:p w:rsidRPr="00BE4819" w:rsidR="00BE4819" w:rsidP="00BE4819" w:rsidRDefault="00BE4819" w14:paraId="4CC7FEBC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t> </w:t>
      </w:r>
    </w:p>
    <w:p w:rsidRPr="00BE4819" w:rsidR="00BE4819" w:rsidP="00BE4819" w:rsidRDefault="00BE4819" w14:paraId="2F844D09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hyperlink w:history="1" r:id="rId5">
        <w:r w:rsidRPr="00BE4819">
          <w:rPr>
            <w:rStyle w:val="Hyperlink"/>
            <w:rFonts w:ascii="Calibri" w:hAnsi="Calibri" w:eastAsia="Times New Roman" w:cs="Calibri"/>
            <w:b/>
            <w:bCs/>
          </w:rPr>
          <w:t>Global Disability Innovation Hub</w:t>
        </w:r>
      </w:hyperlink>
      <w:r>
        <w:rPr>
          <w:rFonts w:ascii="Calibri" w:hAnsi="Calibri" w:eastAsia="Times New Roman" w:cs="Calibri"/>
          <w:b/>
          <w:bCs/>
          <w:color w:val="000000"/>
        </w:rPr>
        <w:t xml:space="preserve"> and the </w:t>
      </w:r>
      <w:hyperlink w:history="1" r:id="rId6">
        <w:r w:rsidRPr="00BE4819">
          <w:rPr>
            <w:rStyle w:val="Hyperlink"/>
            <w:rFonts w:ascii="Calibri" w:hAnsi="Calibri" w:eastAsia="Times New Roman" w:cs="Calibri"/>
            <w:b/>
            <w:bCs/>
          </w:rPr>
          <w:t>UCL Department of Computer Science</w:t>
        </w:r>
      </w:hyperlink>
      <w:r>
        <w:rPr>
          <w:rFonts w:ascii="Calibri" w:hAnsi="Calibri" w:eastAsia="Times New Roman" w:cs="Calibri"/>
          <w:b/>
          <w:bCs/>
          <w:color w:val="000000"/>
        </w:rPr>
        <w:t xml:space="preserve"> are </w:t>
      </w:r>
      <w:r w:rsidRPr="00BE4819">
        <w:rPr>
          <w:rFonts w:ascii="Calibri" w:hAnsi="Calibri" w:eastAsia="Times New Roman" w:cs="Calibri"/>
          <w:b/>
          <w:bCs/>
          <w:color w:val="000000"/>
        </w:rPr>
        <w:t xml:space="preserve"> delighted to launch the world's first MSc in the emerging area of Global Disability Innovation.  </w:t>
      </w:r>
    </w:p>
    <w:p w:rsidRPr="00BE4819" w:rsidR="00BE4819" w:rsidP="00BE4819" w:rsidRDefault="00BE4819" w14:paraId="018C2AD7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t> </w:t>
      </w:r>
    </w:p>
    <w:p w:rsidRPr="00BE4819" w:rsidR="00BE4819" w:rsidP="00BE4819" w:rsidRDefault="00BE4819" w14:paraId="7954220A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hyperlink w:history="1" r:id="rId7">
        <w:r w:rsidRPr="00BE4819">
          <w:rPr>
            <w:rStyle w:val="Hyperlink"/>
            <w:rFonts w:ascii="Calibri" w:hAnsi="Calibri" w:eastAsia="Times New Roman" w:cs="Calibri"/>
            <w:b/>
            <w:bCs/>
          </w:rPr>
          <w:t>The Disability, Design and Innovation MSc </w:t>
        </w:r>
      </w:hyperlink>
      <w:r w:rsidRPr="00BE4819">
        <w:rPr>
          <w:rFonts w:ascii="Calibri" w:hAnsi="Calibri" w:eastAsia="Times New Roman" w:cs="Calibri"/>
          <w:b/>
          <w:bCs/>
          <w:color w:val="000000"/>
        </w:rPr>
        <w:t>blends design engineering with global policy and the societal context of disability giving students a unique multidisciplinary insight and the skills to be innovators in the field of global disability.</w:t>
      </w:r>
    </w:p>
    <w:p w:rsidRPr="00BE4819" w:rsidR="00BE4819" w:rsidP="00BE4819" w:rsidRDefault="00BE4819" w14:paraId="2BAAD2B8" w14:textId="77777777">
      <w:pPr>
        <w:spacing w:after="240"/>
        <w:rPr>
          <w:rFonts w:ascii="Calibri" w:hAnsi="Calibri" w:eastAsia="Times New Roman" w:cs="Calibri"/>
          <w:color w:val="000000"/>
          <w:sz w:val="22"/>
          <w:szCs w:val="22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br/>
      </w:r>
      <w:r w:rsidRPr="00BE4819">
        <w:rPr>
          <w:rFonts w:ascii="Calibri" w:hAnsi="Calibri" w:eastAsia="Times New Roman" w:cs="Calibri"/>
          <w:b/>
          <w:bCs/>
          <w:color w:val="000000"/>
        </w:rPr>
        <w:t>Taught by world-leading experts in disability, design and technology, students will study across three leading institutions; UCL, Loughborough London and the London College of Fashion. </w:t>
      </w:r>
    </w:p>
    <w:p w:rsidRPr="00BE4819" w:rsidR="00BE4819" w:rsidP="00BE4819" w:rsidRDefault="00BE4819" w14:paraId="5362B03D" w14:textId="77777777">
      <w:pPr>
        <w:spacing w:after="240"/>
        <w:rPr>
          <w:rFonts w:ascii="Calibri" w:hAnsi="Calibri" w:eastAsia="Times New Roman" w:cs="Calibri"/>
          <w:color w:val="000000"/>
          <w:sz w:val="22"/>
          <w:szCs w:val="22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t>Creating the disability innovators of tomorrow, career options include;</w:t>
      </w:r>
    </w:p>
    <w:p w:rsidRPr="00BE4819" w:rsidR="00BE4819" w:rsidP="00BE4819" w:rsidRDefault="00BE4819" w14:paraId="0C0FF45F" w14:textId="77777777">
      <w:pPr>
        <w:numPr>
          <w:ilvl w:val="0"/>
          <w:numId w:val="1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t>Inclusive design and innovation </w:t>
      </w:r>
    </w:p>
    <w:p w:rsidRPr="00BE4819" w:rsidR="00BE4819" w:rsidP="00BE4819" w:rsidRDefault="00BE4819" w14:paraId="5B1E9CAE" w14:textId="77777777">
      <w:pPr>
        <w:numPr>
          <w:ilvl w:val="0"/>
          <w:numId w:val="1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t>Disability rights </w:t>
      </w:r>
    </w:p>
    <w:p w:rsidRPr="00BE4819" w:rsidR="00BE4819" w:rsidP="00BE4819" w:rsidRDefault="00BE4819" w14:paraId="406D9395" w14:textId="77777777">
      <w:pPr>
        <w:numPr>
          <w:ilvl w:val="0"/>
          <w:numId w:val="1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t>International development</w:t>
      </w:r>
    </w:p>
    <w:p w:rsidRPr="00BE4819" w:rsidR="00BE4819" w:rsidP="00BE4819" w:rsidRDefault="00BE4819" w14:paraId="46C382D6" w14:textId="77777777">
      <w:pPr>
        <w:numPr>
          <w:ilvl w:val="0"/>
          <w:numId w:val="1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t>Accessibility and assistive technologies</w:t>
      </w:r>
    </w:p>
    <w:p w:rsidRPr="00BE4819" w:rsidR="00BE4819" w:rsidP="00BE4819" w:rsidRDefault="00BE4819" w14:paraId="557F1F10" w14:textId="77777777">
      <w:pPr>
        <w:numPr>
          <w:ilvl w:val="0"/>
          <w:numId w:val="1"/>
        </w:numPr>
        <w:rPr>
          <w:rFonts w:ascii="Calibri" w:hAnsi="Calibri" w:eastAsia="Times New Roman" w:cs="Calibri"/>
          <w:color w:val="000000"/>
          <w:sz w:val="22"/>
          <w:szCs w:val="22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t>Start-up and entrepreneurship</w:t>
      </w:r>
    </w:p>
    <w:p w:rsidRPr="00BE4819" w:rsidR="00BE4819" w:rsidP="00BE4819" w:rsidRDefault="00BE4819" w14:paraId="08D7820E" w14:textId="77777777">
      <w:pPr>
        <w:ind w:left="720"/>
        <w:rPr>
          <w:rFonts w:ascii="Calibri" w:hAnsi="Calibri" w:eastAsia="Times New Roman" w:cs="Calibri"/>
          <w:color w:val="000000"/>
          <w:sz w:val="22"/>
          <w:szCs w:val="22"/>
        </w:rPr>
      </w:pPr>
    </w:p>
    <w:p w:rsidRPr="00BE4819" w:rsidR="00BE4819" w:rsidP="00BE4819" w:rsidRDefault="00BE4819" w14:paraId="4EA51360" w14:textId="06320D25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t>To learn more about the programme</w:t>
      </w:r>
      <w:r>
        <w:rPr>
          <w:rFonts w:ascii="Calibri" w:hAnsi="Calibri" w:eastAsia="Times New Roman" w:cs="Calibri"/>
          <w:b/>
          <w:bCs/>
          <w:color w:val="000000"/>
        </w:rPr>
        <w:t xml:space="preserve">, </w:t>
      </w:r>
      <w:r w:rsidRPr="00BE4819">
        <w:rPr>
          <w:rFonts w:ascii="Calibri" w:hAnsi="Calibri" w:eastAsia="Times New Roman" w:cs="Calibri"/>
          <w:b/>
          <w:bCs/>
          <w:color w:val="000000"/>
        </w:rPr>
        <w:t>the multiple scholarships available,</w:t>
      </w:r>
      <w:r>
        <w:rPr>
          <w:rFonts w:ascii="Calibri" w:hAnsi="Calibri" w:eastAsia="Times New Roman" w:cs="Calibri"/>
          <w:b/>
          <w:bCs/>
          <w:color w:val="000000"/>
        </w:rPr>
        <w:t xml:space="preserve"> or take part in one of our upcoming virtual open days</w:t>
      </w:r>
      <w:r w:rsidRPr="00BE4819">
        <w:rPr>
          <w:rFonts w:ascii="Calibri" w:hAnsi="Calibri" w:eastAsia="Times New Roman" w:cs="Calibri"/>
          <w:b/>
          <w:bCs/>
          <w:color w:val="000000"/>
        </w:rPr>
        <w:t xml:space="preserve"> please visit our site or email </w:t>
      </w:r>
      <w:proofErr w:type="spellStart"/>
      <w:r w:rsidRPr="00BE4819">
        <w:rPr>
          <w:rFonts w:ascii="Calibri" w:hAnsi="Calibri" w:eastAsia="Times New Roman" w:cs="Calibri"/>
          <w:b/>
          <w:bCs/>
          <w:color w:val="000000"/>
        </w:rPr>
        <w:t>Aeesha</w:t>
      </w:r>
      <w:proofErr w:type="spellEnd"/>
      <w:r w:rsidRPr="00BE4819">
        <w:rPr>
          <w:rFonts w:ascii="Calibri" w:hAnsi="Calibri" w:eastAsia="Times New Roman" w:cs="Calibri"/>
          <w:b/>
          <w:bCs/>
          <w:color w:val="000000"/>
        </w:rPr>
        <w:t xml:space="preserve"> Adams, GDI Hub Manager, at </w:t>
      </w:r>
      <w:hyperlink w:history="1" r:id="rId8">
        <w:r w:rsidRPr="00BE4819">
          <w:rPr>
            <w:rFonts w:ascii="Calibri" w:hAnsi="Calibri" w:eastAsia="Times New Roman" w:cs="Calibri"/>
            <w:b/>
            <w:bCs/>
            <w:color w:val="800080"/>
            <w:u w:val="single"/>
          </w:rPr>
          <w:t>manager.gdihub@ucl.ac.uk</w:t>
        </w:r>
      </w:hyperlink>
    </w:p>
    <w:p w:rsidR="00BE4819" w:rsidP="00BE4819" w:rsidRDefault="00BE4819" w14:paraId="2DE51DDF" w14:textId="492EF645">
      <w:pPr>
        <w:rPr>
          <w:rFonts w:ascii="Calibri" w:hAnsi="Calibri" w:eastAsia="Times New Roman" w:cs="Calibri"/>
          <w:b/>
          <w:bCs/>
          <w:color w:val="000000"/>
        </w:rPr>
      </w:pPr>
      <w:r w:rsidRPr="00BE4819">
        <w:rPr>
          <w:rFonts w:ascii="Calibri" w:hAnsi="Calibri" w:eastAsia="Times New Roman" w:cs="Calibri"/>
          <w:b/>
          <w:bCs/>
          <w:color w:val="000000"/>
        </w:rPr>
        <w:t> </w:t>
      </w:r>
    </w:p>
    <w:p w:rsidR="001028D1" w:rsidP="00BE4819" w:rsidRDefault="00571B4F" w14:paraId="29AA86E4" w14:textId="5487E61C">
      <w:pPr>
        <w:rPr>
          <w:rFonts w:ascii="Calibri" w:hAnsi="Calibri" w:eastAsia="Times New Roman" w:cs="Calibri"/>
          <w:b/>
          <w:bCs/>
          <w:color w:val="000000"/>
        </w:rPr>
      </w:pPr>
      <w:r>
        <w:rPr>
          <w:rFonts w:ascii="Calibri" w:hAnsi="Calibri" w:eastAsia="Times New Roman" w:cs="Calibri"/>
          <w:b/>
          <w:bCs/>
          <w:color w:val="000000"/>
        </w:rPr>
        <w:t xml:space="preserve">Twitter: </w:t>
      </w:r>
      <w:r w:rsidR="001028D1">
        <w:rPr>
          <w:rFonts w:ascii="Calibri" w:hAnsi="Calibri" w:eastAsia="Times New Roman" w:cs="Calibri"/>
          <w:b/>
          <w:bCs/>
          <w:color w:val="000000"/>
        </w:rPr>
        <w:t>@</w:t>
      </w:r>
      <w:proofErr w:type="spellStart"/>
      <w:r w:rsidR="001028D1">
        <w:rPr>
          <w:rFonts w:ascii="Calibri" w:hAnsi="Calibri" w:eastAsia="Times New Roman" w:cs="Calibri"/>
          <w:b/>
          <w:bCs/>
          <w:color w:val="000000"/>
        </w:rPr>
        <w:t>GDIHub</w:t>
      </w:r>
      <w:bookmarkStart w:name="_GoBack" w:id="0"/>
      <w:bookmarkEnd w:id="0"/>
      <w:proofErr w:type="spellEnd"/>
    </w:p>
    <w:p w:rsidR="00571B4F" w:rsidP="00BE4819" w:rsidRDefault="00571B4F" w14:paraId="38B5E34C" w14:textId="77777777">
      <w:pPr>
        <w:rPr>
          <w:rFonts w:ascii="Calibri" w:hAnsi="Calibri" w:eastAsia="Times New Roman" w:cs="Calibri"/>
          <w:b/>
          <w:bCs/>
          <w:color w:val="000000"/>
        </w:rPr>
      </w:pPr>
    </w:p>
    <w:p w:rsidRPr="00BE4819" w:rsidR="001028D1" w:rsidP="00BE4819" w:rsidRDefault="001028D1" w14:paraId="1D66F6A2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</w:p>
    <w:p w:rsidR="000B5571" w:rsidRDefault="00571B4F" w14:paraId="49B7BF3D" w14:textId="77777777"/>
    <w:sectPr w:rsidR="000B5571" w:rsidSect="007553C1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A4A4C"/>
    <w:multiLevelType w:val="multilevel"/>
    <w:tmpl w:val="1AD8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19"/>
    <w:rsid w:val="00036196"/>
    <w:rsid w:val="001028D1"/>
    <w:rsid w:val="00215A23"/>
    <w:rsid w:val="00231028"/>
    <w:rsid w:val="00534316"/>
    <w:rsid w:val="00571B4F"/>
    <w:rsid w:val="007553C1"/>
    <w:rsid w:val="009972DD"/>
    <w:rsid w:val="00BE4819"/>
    <w:rsid w:val="00F80923"/>
    <w:rsid w:val="0860A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5F521"/>
  <w15:chartTrackingRefBased/>
  <w15:docId w15:val="{D2AF9A7F-4A45-A749-AF64-9BEFCC3622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BE4819"/>
  </w:style>
  <w:style w:type="character" w:styleId="Hyperlink">
    <w:name w:val="Hyperlink"/>
    <w:basedOn w:val="DefaultParagraphFont"/>
    <w:uiPriority w:val="99"/>
    <w:unhideWhenUsed/>
    <w:rsid w:val="00BE48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nager.gdihub@ucl.ac.uk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ucl.ac.uk/prospective-students/graduate/taught-degrees/disability-design-innovation-msc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cs.ucl.ac.uk/home/" TargetMode="External" Id="rId6" /><Relationship Type="http://schemas.openxmlformats.org/officeDocument/2006/relationships/hyperlink" Target="https://www.disabilityinnovation.com/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d561fa3fd35941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Adams, Aeesha</dc:creator>
  <keywords/>
  <dc:description/>
  <lastModifiedBy>Adams, Aeesha</lastModifiedBy>
  <revision>5</revision>
  <dcterms:created xsi:type="dcterms:W3CDTF">2019-04-05T11:22:00.0000000Z</dcterms:created>
  <dcterms:modified xsi:type="dcterms:W3CDTF">2019-04-08T12:29:03.2979076Z</dcterms:modified>
</coreProperties>
</file>