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7E798" w14:textId="77777777" w:rsidR="00877596" w:rsidRPr="00877596" w:rsidRDefault="00877596" w:rsidP="00877596">
      <w:pPr>
        <w:keepNext/>
        <w:suppressAutoHyphens/>
        <w:spacing w:after="0" w:line="240" w:lineRule="auto"/>
        <w:jc w:val="center"/>
        <w:outlineLvl w:val="2"/>
        <w:rPr>
          <w:rFonts w:eastAsia="Times New Roman" w:cstheme="minorHAnsi"/>
          <w:b/>
          <w:position w:val="13"/>
          <w:sz w:val="32"/>
          <w:szCs w:val="24"/>
          <w:lang w:eastAsia="ar-SA"/>
        </w:rPr>
      </w:pPr>
      <w:bookmarkStart w:id="0" w:name="_Toc449008873"/>
      <w:r w:rsidRPr="00877596">
        <w:rPr>
          <w:rFonts w:eastAsia="Times New Roman" w:cstheme="minorHAnsi"/>
          <w:b/>
          <w:position w:val="13"/>
          <w:sz w:val="32"/>
          <w:szCs w:val="24"/>
          <w:lang w:val="en-GB" w:eastAsia="ar-SA"/>
        </w:rPr>
        <w:t xml:space="preserve">Health and Safety and Insurance Declaration  </w:t>
      </w:r>
      <w:r w:rsidRPr="00877596">
        <w:rPr>
          <w:rFonts w:eastAsia="Times New Roman" w:cstheme="minorHAnsi"/>
          <w:b/>
          <w:position w:val="13"/>
          <w:sz w:val="32"/>
          <w:szCs w:val="24"/>
          <w:lang w:val="en-GB" w:eastAsia="ar-SA"/>
        </w:rPr>
        <w:br/>
      </w:r>
      <w:r w:rsidRPr="00877596">
        <w:rPr>
          <w:rFonts w:eastAsia="Times New Roman" w:cstheme="minorHAnsi"/>
          <w:b/>
          <w:position w:val="13"/>
          <w:sz w:val="28"/>
          <w:szCs w:val="24"/>
          <w:lang w:val="en-GB" w:eastAsia="ar-SA"/>
        </w:rPr>
        <w:t xml:space="preserve">(to be completed by </w:t>
      </w:r>
      <w:r w:rsidRPr="00877596">
        <w:rPr>
          <w:rFonts w:eastAsia="Times New Roman" w:cstheme="minorHAnsi"/>
          <w:b/>
          <w:position w:val="13"/>
          <w:sz w:val="28"/>
          <w:szCs w:val="24"/>
          <w:u w:val="single"/>
          <w:lang w:val="en-GB" w:eastAsia="ar-SA"/>
        </w:rPr>
        <w:t>all</w:t>
      </w:r>
      <w:r w:rsidRPr="00877596">
        <w:rPr>
          <w:rFonts w:eastAsia="Times New Roman" w:cstheme="minorHAnsi"/>
          <w:b/>
          <w:position w:val="13"/>
          <w:sz w:val="28"/>
          <w:szCs w:val="24"/>
          <w:lang w:val="en-GB" w:eastAsia="ar-SA"/>
        </w:rPr>
        <w:t xml:space="preserve"> Exhibitors)</w:t>
      </w:r>
      <w:bookmarkEnd w:id="0"/>
    </w:p>
    <w:p w14:paraId="7B9C9858" w14:textId="77777777" w:rsidR="00877596" w:rsidRPr="00877596" w:rsidRDefault="00877596" w:rsidP="00877596">
      <w:pPr>
        <w:autoSpaceDE w:val="0"/>
        <w:autoSpaceDN w:val="0"/>
        <w:adjustRightInd w:val="0"/>
        <w:spacing w:after="0" w:line="240" w:lineRule="auto"/>
        <w:rPr>
          <w:rFonts w:eastAsia="Times New Roman" w:cstheme="minorHAnsi"/>
          <w:lang w:val="en-GB" w:eastAsia="ar-SA"/>
        </w:rPr>
      </w:pPr>
    </w:p>
    <w:p w14:paraId="418D57E9" w14:textId="31AD34DF"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Company </w:t>
      </w:r>
      <w:r w:rsidR="00775617" w:rsidRPr="00775617">
        <w:rPr>
          <w:rFonts w:eastAsia="Times New Roman" w:cstheme="minorHAnsi"/>
          <w:lang w:val="en-GB" w:eastAsia="ar-SA"/>
        </w:rPr>
        <w:t>N</w:t>
      </w:r>
      <w:r w:rsidRPr="00775617">
        <w:rPr>
          <w:rFonts w:eastAsia="Times New Roman" w:cstheme="minorHAnsi"/>
          <w:lang w:val="en-GB" w:eastAsia="ar-SA"/>
        </w:rPr>
        <w:t xml:space="preserve">ame </w:t>
      </w:r>
      <w:r w:rsidR="004C1424">
        <w:rPr>
          <w:rFonts w:eastAsia="Times New Roman" w:cstheme="minorHAnsi"/>
          <w:lang w:val="en-GB" w:eastAsia="ar-SA"/>
        </w:rPr>
        <w:t>MHRA</w:t>
      </w:r>
      <w:r w:rsidRPr="00775617">
        <w:rPr>
          <w:rFonts w:eastAsia="Times New Roman" w:cstheme="minorHAnsi"/>
          <w:lang w:val="en-GB" w:eastAsia="ar-SA"/>
        </w:rPr>
        <w:br/>
        <w:t>Stand</w:t>
      </w:r>
      <w:r w:rsidR="00B2239F">
        <w:rPr>
          <w:rFonts w:eastAsia="Times New Roman" w:cstheme="minorHAnsi"/>
          <w:lang w:val="en-GB" w:eastAsia="ar-SA"/>
        </w:rPr>
        <w:t xml:space="preserve"> N</w:t>
      </w:r>
      <w:r w:rsidRPr="00775617">
        <w:rPr>
          <w:rFonts w:eastAsia="Times New Roman" w:cstheme="minorHAnsi"/>
          <w:lang w:val="en-GB" w:eastAsia="ar-SA"/>
        </w:rPr>
        <w:t xml:space="preserve">o </w:t>
      </w:r>
      <w:r w:rsidR="004C1424">
        <w:rPr>
          <w:rFonts w:eastAsia="Times New Roman" w:cstheme="minorHAnsi"/>
          <w:lang w:val="en-GB" w:eastAsia="ar-SA"/>
        </w:rPr>
        <w:t>45</w:t>
      </w:r>
    </w:p>
    <w:p w14:paraId="66726DD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4EEDD0E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The Health and Safety at Work Act, etc, 1974 (HASAWA74)</w:t>
      </w:r>
    </w:p>
    <w:p w14:paraId="14737C3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It is a condition of entry into the exhibition that every Exhibitor, Contractor, sub-Contractor, supplier and their agents comply with the HASAWA74 and all other legislation covering the venue. The Exhibitor accepts that it is their legal and moral responsibility to ensure that their own and others’ health and safety is not put at risk by their actions (or inactions) throughout tenancy. The exhibitor confirms that its staff will be sufficiently instructed and trained in relevant matters in order to carry out their tasks competently:</w:t>
      </w:r>
    </w:p>
    <w:p w14:paraId="2D721FF4"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0E40ADC8" w14:textId="5CD22494" w:rsidR="00877596" w:rsidRPr="00775617" w:rsidRDefault="00DD0274" w:rsidP="00877596">
      <w:pPr>
        <w:autoSpaceDE w:val="0"/>
        <w:autoSpaceDN w:val="0"/>
        <w:adjustRightInd w:val="0"/>
        <w:spacing w:after="0" w:line="240" w:lineRule="auto"/>
        <w:rPr>
          <w:rFonts w:eastAsia="Times New Roman" w:cstheme="minorHAnsi"/>
          <w:lang w:val="en-GB" w:eastAsia="ar-SA"/>
        </w:rPr>
      </w:pPr>
      <w:r w:rsidRPr="00DD0274">
        <w:rPr>
          <w:rFonts w:eastAsia="Times New Roman" w:cstheme="minorHAnsi"/>
          <w:b/>
          <w:highlight w:val="yellow"/>
          <w:lang w:val="en-GB" w:eastAsia="ar-SA"/>
        </w:rPr>
        <w:t>Y</w:t>
      </w:r>
      <w:r w:rsidR="00877596" w:rsidRPr="00DD0274">
        <w:rPr>
          <w:rFonts w:eastAsia="Times New Roman" w:cstheme="minorHAnsi"/>
          <w:b/>
          <w:highlight w:val="yellow"/>
          <w:lang w:val="en-GB" w:eastAsia="ar-SA"/>
        </w:rPr>
        <w:t xml:space="preserve"> </w:t>
      </w:r>
      <w:r w:rsidRPr="00DD0274">
        <w:rPr>
          <w:rFonts w:eastAsia="Times New Roman" w:cstheme="minorHAnsi"/>
          <w:b/>
          <w:highlight w:val="yellow"/>
          <w:lang w:val="en-GB" w:eastAsia="ar-SA"/>
        </w:rPr>
        <w:t>-</w:t>
      </w:r>
      <w:r>
        <w:rPr>
          <w:rFonts w:eastAsia="Times New Roman" w:cstheme="minorHAnsi"/>
          <w:lang w:val="en-GB" w:eastAsia="ar-SA"/>
        </w:rPr>
        <w:t xml:space="preserve"> </w:t>
      </w:r>
      <w:r w:rsidR="00877596" w:rsidRPr="00775617">
        <w:rPr>
          <w:rFonts w:eastAsia="Times New Roman" w:cstheme="minorHAnsi"/>
          <w:lang w:val="en-GB" w:eastAsia="ar-SA"/>
        </w:rPr>
        <w:t xml:space="preserve">We are </w:t>
      </w:r>
      <w:r w:rsidR="00877596" w:rsidRPr="00775617">
        <w:rPr>
          <w:rFonts w:eastAsia="Times New Roman" w:cstheme="minorHAnsi"/>
          <w:b/>
          <w:u w:val="single"/>
          <w:lang w:val="en-GB" w:eastAsia="ar-SA"/>
        </w:rPr>
        <w:t>SHELL SCHEME</w:t>
      </w:r>
      <w:r w:rsidR="00877596" w:rsidRPr="00775617">
        <w:rPr>
          <w:rFonts w:eastAsia="Times New Roman" w:cstheme="minorHAnsi"/>
          <w:lang w:val="en-GB" w:eastAsia="ar-SA"/>
        </w:rPr>
        <w:t xml:space="preserve"> and are using the </w:t>
      </w:r>
      <w:r w:rsidR="001234F0" w:rsidRPr="00775617">
        <w:rPr>
          <w:rFonts w:eastAsia="Times New Roman" w:cstheme="minorHAnsi"/>
          <w:lang w:val="en-GB" w:eastAsia="ar-SA"/>
        </w:rPr>
        <w:t>PMG</w:t>
      </w:r>
      <w:r w:rsidR="00877596" w:rsidRPr="00775617">
        <w:rPr>
          <w:rFonts w:eastAsia="Times New Roman" w:cstheme="minorHAnsi"/>
          <w:lang w:val="en-GB" w:eastAsia="ar-SA"/>
        </w:rPr>
        <w:t xml:space="preserve"> recommended contractors. We have trained and made our stand staff aware of the potential risks present onsite and we will copy them in with any additional safety information. We will complete and return a risk assessment by </w:t>
      </w:r>
      <w:r w:rsidR="001234F0" w:rsidRPr="00060F8A">
        <w:rPr>
          <w:rFonts w:eastAsia="Times New Roman" w:cstheme="minorHAnsi"/>
          <w:b/>
          <w:highlight w:val="yellow"/>
          <w:shd w:val="clear" w:color="auto" w:fill="00FFCC"/>
          <w:lang w:val="en-GB" w:eastAsia="ar-SA"/>
        </w:rPr>
        <w:t xml:space="preserve">Friday </w:t>
      </w:r>
      <w:r w:rsidR="009D3C46">
        <w:rPr>
          <w:rFonts w:eastAsia="Times New Roman" w:cstheme="minorHAnsi"/>
          <w:b/>
          <w:highlight w:val="yellow"/>
          <w:shd w:val="clear" w:color="auto" w:fill="00FFCC"/>
          <w:lang w:val="en-GB" w:eastAsia="ar-SA"/>
        </w:rPr>
        <w:t>14</w:t>
      </w:r>
      <w:r w:rsidR="001234F0" w:rsidRPr="00060F8A">
        <w:rPr>
          <w:rFonts w:eastAsia="Times New Roman" w:cstheme="minorHAnsi"/>
          <w:b/>
          <w:highlight w:val="yellow"/>
          <w:shd w:val="clear" w:color="auto" w:fill="00FFCC"/>
          <w:lang w:val="en-GB" w:eastAsia="ar-SA"/>
        </w:rPr>
        <w:t xml:space="preserve"> June</w:t>
      </w:r>
      <w:r w:rsidR="00060F8A" w:rsidRPr="00060F8A">
        <w:rPr>
          <w:rFonts w:eastAsia="Times New Roman" w:cstheme="minorHAnsi"/>
          <w:b/>
          <w:highlight w:val="yellow"/>
          <w:shd w:val="clear" w:color="auto" w:fill="00FFCC"/>
          <w:lang w:val="en-GB" w:eastAsia="ar-SA"/>
        </w:rPr>
        <w:t xml:space="preserve"> 2019</w:t>
      </w:r>
      <w:r w:rsidR="00877596" w:rsidRPr="00060F8A">
        <w:rPr>
          <w:rFonts w:eastAsia="Times New Roman" w:cstheme="minorHAnsi"/>
          <w:b/>
          <w:highlight w:val="yellow"/>
          <w:shd w:val="clear" w:color="auto" w:fill="00FFCC"/>
          <w:lang w:val="en-GB" w:eastAsia="ar-SA"/>
        </w:rPr>
        <w:t>.</w:t>
      </w:r>
      <w:r w:rsidR="00877596" w:rsidRPr="00775617">
        <w:rPr>
          <w:rFonts w:eastAsia="Times New Roman" w:cstheme="minorHAnsi"/>
          <w:lang w:val="en-GB" w:eastAsia="ar-SA"/>
        </w:rPr>
        <w:t xml:space="preserve">  Any significant risks caused by our exhibits, demonstrations and work practises to either ourselves or others onsite are detailed on the form OR if our exhibits, demonstrations and work practises cause NO HAZARD to either ourselves or others onsite our risk assessment form will be marked clearly ‘NO/ONLY LOW RISKS’</w:t>
      </w:r>
    </w:p>
    <w:p w14:paraId="625798D6"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58F3902" w14:textId="04D22C3E" w:rsidR="00877596" w:rsidRPr="00775617" w:rsidRDefault="00DD0274" w:rsidP="00877596">
      <w:pPr>
        <w:autoSpaceDE w:val="0"/>
        <w:autoSpaceDN w:val="0"/>
        <w:adjustRightInd w:val="0"/>
        <w:spacing w:after="0" w:line="240" w:lineRule="auto"/>
        <w:rPr>
          <w:rFonts w:eastAsia="Times New Roman" w:cstheme="minorHAnsi"/>
          <w:lang w:val="en-GB" w:eastAsia="ar-SA"/>
        </w:rPr>
      </w:pPr>
      <w:r w:rsidRPr="00DD0274">
        <w:rPr>
          <w:rFonts w:eastAsia="Times New Roman" w:cstheme="minorHAnsi"/>
          <w:b/>
          <w:highlight w:val="yellow"/>
          <w:lang w:val="en-GB" w:eastAsia="ar-SA"/>
        </w:rPr>
        <w:t>N -</w:t>
      </w:r>
      <w:r>
        <w:rPr>
          <w:rFonts w:eastAsia="Times New Roman" w:cstheme="minorHAnsi"/>
          <w:lang w:val="en-GB" w:eastAsia="ar-SA"/>
        </w:rPr>
        <w:t xml:space="preserve"> </w:t>
      </w:r>
      <w:r w:rsidR="00877596" w:rsidRPr="00775617">
        <w:rPr>
          <w:rFonts w:eastAsia="Times New Roman" w:cstheme="minorHAnsi"/>
          <w:lang w:val="en-GB" w:eastAsia="ar-SA"/>
        </w:rPr>
        <w:t xml:space="preserve">We are </w:t>
      </w:r>
      <w:r w:rsidR="00877596" w:rsidRPr="00775617">
        <w:rPr>
          <w:rFonts w:eastAsia="Times New Roman" w:cstheme="minorHAnsi"/>
          <w:b/>
          <w:u w:val="single"/>
          <w:lang w:val="en-GB" w:eastAsia="ar-SA"/>
        </w:rPr>
        <w:t>SPACE ONLY.</w:t>
      </w:r>
      <w:r w:rsidR="00877596" w:rsidRPr="00775617">
        <w:rPr>
          <w:rFonts w:eastAsia="Times New Roman" w:cstheme="minorHAnsi"/>
          <w:lang w:val="en-GB" w:eastAsia="ar-SA"/>
        </w:rPr>
        <w:t xml:space="preserve"> My principal contractor(s) (named below) has undertaken a specific Risk Assessment for this event in accordance with the HASAWA74. They have trained and notified their staff and sub-contractors in all such areas identified as being of risk. A copy will be forwarded to the Organisers by </w:t>
      </w:r>
      <w:r w:rsidR="001234F0" w:rsidRPr="00060F8A">
        <w:rPr>
          <w:rFonts w:eastAsia="Times New Roman" w:cstheme="minorHAnsi"/>
          <w:b/>
          <w:highlight w:val="yellow"/>
          <w:shd w:val="clear" w:color="auto" w:fill="00FFCC"/>
          <w:lang w:val="en-GB" w:eastAsia="ar-SA"/>
        </w:rPr>
        <w:t xml:space="preserve">Friday </w:t>
      </w:r>
      <w:r w:rsidR="009D3C46">
        <w:rPr>
          <w:rFonts w:eastAsia="Times New Roman" w:cstheme="minorHAnsi"/>
          <w:b/>
          <w:highlight w:val="yellow"/>
          <w:shd w:val="clear" w:color="auto" w:fill="00FFCC"/>
          <w:lang w:val="en-GB" w:eastAsia="ar-SA"/>
        </w:rPr>
        <w:t>14</w:t>
      </w:r>
      <w:r w:rsidR="001234F0" w:rsidRPr="00060F8A">
        <w:rPr>
          <w:rFonts w:eastAsia="Times New Roman" w:cstheme="minorHAnsi"/>
          <w:b/>
          <w:highlight w:val="yellow"/>
          <w:shd w:val="clear" w:color="auto" w:fill="00FFCC"/>
          <w:lang w:val="en-GB" w:eastAsia="ar-SA"/>
        </w:rPr>
        <w:t xml:space="preserve"> June</w:t>
      </w:r>
      <w:r w:rsidR="00060F8A" w:rsidRPr="00060F8A">
        <w:rPr>
          <w:rFonts w:eastAsia="Times New Roman" w:cstheme="minorHAnsi"/>
          <w:b/>
          <w:highlight w:val="yellow"/>
          <w:shd w:val="clear" w:color="auto" w:fill="00FFCC"/>
          <w:lang w:val="en-GB" w:eastAsia="ar-SA"/>
        </w:rPr>
        <w:t xml:space="preserve"> 2019</w:t>
      </w:r>
      <w:r w:rsidR="001234F0" w:rsidRPr="00060F8A">
        <w:rPr>
          <w:rFonts w:eastAsia="Times New Roman" w:cstheme="minorHAnsi"/>
          <w:b/>
          <w:highlight w:val="yellow"/>
          <w:shd w:val="clear" w:color="auto" w:fill="00FFCC"/>
          <w:lang w:val="en-GB" w:eastAsia="ar-SA"/>
        </w:rPr>
        <w:t>.</w:t>
      </w:r>
    </w:p>
    <w:p w14:paraId="728AF7D0"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851CA9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1</w:t>
      </w:r>
    </w:p>
    <w:p w14:paraId="54D5EF9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2151A94" w14:textId="4F3932A7"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Company</w:t>
      </w:r>
      <w:r w:rsidR="00B16F1B" w:rsidRPr="00775617">
        <w:rPr>
          <w:rFonts w:eastAsia="Times New Roman" w:cstheme="minorHAnsi"/>
          <w:lang w:val="en-GB" w:eastAsia="ar-SA"/>
        </w:rPr>
        <w:t>_____________________________________________________________________________</w:t>
      </w:r>
    </w:p>
    <w:p w14:paraId="2E54C9BF" w14:textId="39A9CAB3"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sidR="00B16F1B">
        <w:rPr>
          <w:rFonts w:eastAsia="Times New Roman" w:cstheme="minorHAnsi"/>
          <w:lang w:val="en-GB" w:eastAsia="ar-SA"/>
        </w:rPr>
        <w:t xml:space="preserve"> N</w:t>
      </w:r>
      <w:r w:rsidRPr="00775617">
        <w:rPr>
          <w:rFonts w:eastAsia="Times New Roman" w:cstheme="minorHAnsi"/>
          <w:lang w:val="en-GB" w:eastAsia="ar-SA"/>
        </w:rPr>
        <w:t>ame</w:t>
      </w:r>
      <w:r w:rsidR="00B16F1B" w:rsidRPr="00775617">
        <w:rPr>
          <w:rFonts w:eastAsia="Times New Roman" w:cstheme="minorHAnsi"/>
          <w:lang w:val="en-GB" w:eastAsia="ar-SA"/>
        </w:rPr>
        <w:t>_________________________________________________________________________</w:t>
      </w:r>
    </w:p>
    <w:p w14:paraId="42CADE8F" w14:textId="49AE1498"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sidR="00B16F1B">
        <w:rPr>
          <w:rFonts w:eastAsia="Times New Roman" w:cstheme="minorHAnsi"/>
          <w:u w:val="single"/>
          <w:lang w:val="en-GB" w:eastAsia="ar-SA"/>
        </w:rPr>
        <w:t xml:space="preserve">                        </w:t>
      </w:r>
    </w:p>
    <w:p w14:paraId="65ECD4D6" w14:textId="14D9E606"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____</w:t>
      </w:r>
    </w:p>
    <w:p w14:paraId="109A8E2D" w14:textId="0DFA52F0"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w:t>
      </w:r>
    </w:p>
    <w:p w14:paraId="144D1B02"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D11DA3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2</w:t>
      </w:r>
    </w:p>
    <w:p w14:paraId="67ECBA45" w14:textId="77777777" w:rsidR="00B16F1B" w:rsidRDefault="00877596"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r>
      <w:r w:rsidR="00B16F1B" w:rsidRPr="00775617">
        <w:rPr>
          <w:rFonts w:eastAsia="Times New Roman" w:cstheme="minorHAnsi"/>
          <w:lang w:val="en-GB" w:eastAsia="ar-SA"/>
        </w:rPr>
        <w:t>Company_____________________________________________________________________________</w:t>
      </w:r>
    </w:p>
    <w:p w14:paraId="7FB2C54D"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Pr>
          <w:rFonts w:eastAsia="Times New Roman" w:cstheme="minorHAnsi"/>
          <w:lang w:val="en-GB" w:eastAsia="ar-SA"/>
        </w:rPr>
        <w:t xml:space="preserve"> N</w:t>
      </w:r>
      <w:r w:rsidRPr="00775617">
        <w:rPr>
          <w:rFonts w:eastAsia="Times New Roman" w:cstheme="minorHAnsi"/>
          <w:lang w:val="en-GB" w:eastAsia="ar-SA"/>
        </w:rPr>
        <w:t>ame_________________________________________________________________________</w:t>
      </w:r>
    </w:p>
    <w:p w14:paraId="08480BD2"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Pr>
          <w:rFonts w:eastAsia="Times New Roman" w:cstheme="minorHAnsi"/>
          <w:u w:val="single"/>
          <w:lang w:val="en-GB" w:eastAsia="ar-SA"/>
        </w:rPr>
        <w:t xml:space="preserve">                        </w:t>
      </w:r>
    </w:p>
    <w:p w14:paraId="4EFA19AE"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Tel______________________________________________________________________________</w:t>
      </w:r>
      <w:r>
        <w:rPr>
          <w:rFonts w:eastAsia="Times New Roman" w:cstheme="minorHAnsi"/>
          <w:lang w:val="en-GB" w:eastAsia="ar-SA"/>
        </w:rPr>
        <w:t>____</w:t>
      </w:r>
    </w:p>
    <w:p w14:paraId="6BB8105C"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Email______________________________________________________________________________</w:t>
      </w:r>
      <w:r>
        <w:rPr>
          <w:rFonts w:eastAsia="Times New Roman" w:cstheme="minorHAnsi"/>
          <w:lang w:val="en-GB" w:eastAsia="ar-SA"/>
        </w:rPr>
        <w:t>__</w:t>
      </w:r>
    </w:p>
    <w:p w14:paraId="520DC346" w14:textId="77777777" w:rsidR="00B16F1B" w:rsidRDefault="00B16F1B" w:rsidP="00877596">
      <w:pPr>
        <w:autoSpaceDE w:val="0"/>
        <w:autoSpaceDN w:val="0"/>
        <w:adjustRightInd w:val="0"/>
        <w:spacing w:after="0" w:line="240" w:lineRule="auto"/>
        <w:rPr>
          <w:rFonts w:eastAsia="Times New Roman" w:cstheme="minorHAnsi"/>
          <w:b/>
          <w:lang w:val="en-GB" w:eastAsia="ar-SA"/>
        </w:rPr>
      </w:pPr>
    </w:p>
    <w:p w14:paraId="343DB094" w14:textId="77777777" w:rsidR="009D3C46" w:rsidRDefault="009D3C46" w:rsidP="00877596">
      <w:pPr>
        <w:autoSpaceDE w:val="0"/>
        <w:autoSpaceDN w:val="0"/>
        <w:adjustRightInd w:val="0"/>
        <w:spacing w:after="0" w:line="240" w:lineRule="auto"/>
        <w:rPr>
          <w:rFonts w:eastAsia="Times New Roman" w:cstheme="minorHAnsi"/>
          <w:b/>
          <w:lang w:val="en-GB" w:eastAsia="ar-SA"/>
        </w:rPr>
      </w:pPr>
    </w:p>
    <w:p w14:paraId="4EDB0053" w14:textId="77777777" w:rsidR="00C62152" w:rsidRDefault="00C62152" w:rsidP="00877596">
      <w:pPr>
        <w:autoSpaceDE w:val="0"/>
        <w:autoSpaceDN w:val="0"/>
        <w:adjustRightInd w:val="0"/>
        <w:spacing w:after="0" w:line="240" w:lineRule="auto"/>
        <w:rPr>
          <w:rFonts w:eastAsia="Times New Roman" w:cstheme="minorHAnsi"/>
          <w:b/>
          <w:lang w:val="en-GB" w:eastAsia="ar-SA"/>
        </w:rPr>
      </w:pPr>
    </w:p>
    <w:p w14:paraId="4C792EF7" w14:textId="77777777" w:rsidR="00C62152" w:rsidRDefault="00C62152" w:rsidP="00877596">
      <w:pPr>
        <w:autoSpaceDE w:val="0"/>
        <w:autoSpaceDN w:val="0"/>
        <w:adjustRightInd w:val="0"/>
        <w:spacing w:after="0" w:line="240" w:lineRule="auto"/>
        <w:rPr>
          <w:rFonts w:eastAsia="Times New Roman" w:cstheme="minorHAnsi"/>
          <w:b/>
          <w:lang w:val="en-GB" w:eastAsia="ar-SA"/>
        </w:rPr>
      </w:pPr>
    </w:p>
    <w:p w14:paraId="3523B0FE" w14:textId="77777777" w:rsidR="00C62152" w:rsidRDefault="00C62152" w:rsidP="00877596">
      <w:pPr>
        <w:autoSpaceDE w:val="0"/>
        <w:autoSpaceDN w:val="0"/>
        <w:adjustRightInd w:val="0"/>
        <w:spacing w:after="0" w:line="240" w:lineRule="auto"/>
        <w:rPr>
          <w:rFonts w:eastAsia="Times New Roman" w:cstheme="minorHAnsi"/>
          <w:b/>
          <w:lang w:val="en-GB" w:eastAsia="ar-SA"/>
        </w:rPr>
      </w:pPr>
    </w:p>
    <w:p w14:paraId="0A5FB3AC" w14:textId="600B8615" w:rsidR="00877596"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lastRenderedPageBreak/>
        <w:t xml:space="preserve">Insurance and </w:t>
      </w:r>
      <w:r w:rsidR="00B16F1B">
        <w:rPr>
          <w:rFonts w:eastAsia="Times New Roman" w:cstheme="minorHAnsi"/>
          <w:b/>
          <w:lang w:val="en-GB" w:eastAsia="ar-SA"/>
        </w:rPr>
        <w:t>P</w:t>
      </w:r>
      <w:r w:rsidRPr="00775617">
        <w:rPr>
          <w:rFonts w:eastAsia="Times New Roman" w:cstheme="minorHAnsi"/>
          <w:b/>
          <w:lang w:val="en-GB" w:eastAsia="ar-SA"/>
        </w:rPr>
        <w:t xml:space="preserve">ublic </w:t>
      </w:r>
      <w:r w:rsidR="00B16F1B">
        <w:rPr>
          <w:rFonts w:eastAsia="Times New Roman" w:cstheme="minorHAnsi"/>
          <w:b/>
          <w:lang w:val="en-GB" w:eastAsia="ar-SA"/>
        </w:rPr>
        <w:t>L</w:t>
      </w:r>
      <w:r w:rsidRPr="00775617">
        <w:rPr>
          <w:rFonts w:eastAsia="Times New Roman" w:cstheme="minorHAnsi"/>
          <w:b/>
          <w:lang w:val="en-GB" w:eastAsia="ar-SA"/>
        </w:rPr>
        <w:t>iability</w:t>
      </w:r>
    </w:p>
    <w:p w14:paraId="7A55E054" w14:textId="77777777" w:rsidR="00B16F1B" w:rsidRPr="00775617" w:rsidRDefault="00B16F1B" w:rsidP="00877596">
      <w:pPr>
        <w:autoSpaceDE w:val="0"/>
        <w:autoSpaceDN w:val="0"/>
        <w:adjustRightInd w:val="0"/>
        <w:spacing w:after="0" w:line="240" w:lineRule="auto"/>
        <w:rPr>
          <w:rFonts w:eastAsia="Times New Roman" w:cstheme="minorHAnsi"/>
          <w:b/>
          <w:lang w:val="en-GB" w:eastAsia="ar-SA"/>
        </w:rPr>
      </w:pPr>
    </w:p>
    <w:p w14:paraId="147C9259" w14:textId="77777777" w:rsidR="00877596" w:rsidRPr="000121FA" w:rsidRDefault="00877596" w:rsidP="00877596">
      <w:pPr>
        <w:autoSpaceDE w:val="0"/>
        <w:autoSpaceDN w:val="0"/>
        <w:adjustRightInd w:val="0"/>
        <w:spacing w:after="0" w:line="240" w:lineRule="auto"/>
        <w:rPr>
          <w:rFonts w:eastAsia="Times New Roman" w:cstheme="minorHAnsi"/>
          <w:strike/>
          <w:lang w:val="en-GB" w:eastAsia="ar-SA"/>
        </w:rPr>
      </w:pPr>
      <w:r w:rsidRPr="000121FA">
        <w:rPr>
          <w:rFonts w:eastAsia="Times New Roman" w:cstheme="minorHAnsi"/>
          <w:strike/>
          <w:lang w:val="en-GB" w:eastAsia="ar-SA"/>
        </w:rPr>
        <w:t>I confirm that we have adequate public liability insurance in place to protect ourselves against any loss or damage to our stand, exhibits, property and personnel and for any legal liability incurred in respect of injury or damage to persons or property belonging to third parties.</w:t>
      </w:r>
    </w:p>
    <w:p w14:paraId="0A07110A" w14:textId="6523887F" w:rsidR="00877596" w:rsidRDefault="00877596" w:rsidP="00877596">
      <w:pPr>
        <w:autoSpaceDE w:val="0"/>
        <w:autoSpaceDN w:val="0"/>
        <w:adjustRightInd w:val="0"/>
        <w:spacing w:after="0" w:line="240" w:lineRule="auto"/>
        <w:rPr>
          <w:rFonts w:eastAsia="Times New Roman" w:cstheme="minorHAnsi"/>
          <w:lang w:val="en-GB" w:eastAsia="ar-SA"/>
        </w:rPr>
      </w:pPr>
    </w:p>
    <w:p w14:paraId="1F384D6D" w14:textId="3E2ED985" w:rsidR="000121FA" w:rsidRDefault="000121FA" w:rsidP="00877596">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Please see included letter confirming central government agencies should not take out public liability insurance and instead cover their own risks.</w:t>
      </w:r>
    </w:p>
    <w:p w14:paraId="4BD13B22" w14:textId="77777777" w:rsidR="000121FA" w:rsidRPr="00775617" w:rsidRDefault="000121FA" w:rsidP="00877596">
      <w:pPr>
        <w:autoSpaceDE w:val="0"/>
        <w:autoSpaceDN w:val="0"/>
        <w:adjustRightInd w:val="0"/>
        <w:spacing w:after="0" w:line="240" w:lineRule="auto"/>
        <w:rPr>
          <w:rFonts w:eastAsia="Times New Roman" w:cstheme="minorHAnsi"/>
          <w:lang w:val="en-GB" w:eastAsia="ar-SA"/>
        </w:rPr>
      </w:pPr>
    </w:p>
    <w:p w14:paraId="6B4DA154" w14:textId="2C357F33" w:rsidR="001234F0"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Health and Safety Representative on the stand will b</w:t>
      </w:r>
      <w:r w:rsidR="00EA2C4E">
        <w:rPr>
          <w:rFonts w:eastAsia="Times New Roman" w:cstheme="minorHAnsi"/>
          <w:lang w:val="en-GB" w:eastAsia="ar-SA"/>
        </w:rPr>
        <w:t>e</w:t>
      </w:r>
      <w:r w:rsidR="00C62152">
        <w:rPr>
          <w:rFonts w:eastAsia="Times New Roman" w:cstheme="minorHAnsi"/>
          <w:lang w:val="en-GB" w:eastAsia="ar-SA"/>
        </w:rPr>
        <w:t xml:space="preserve"> </w:t>
      </w:r>
      <w:r w:rsidR="000121FA">
        <w:rPr>
          <w:rFonts w:eastAsia="Times New Roman" w:cstheme="minorHAnsi"/>
          <w:lang w:val="en-GB" w:eastAsia="ar-SA"/>
        </w:rPr>
        <w:t>Phillip Davenport</w:t>
      </w:r>
    </w:p>
    <w:p w14:paraId="6AB9ED2F" w14:textId="5123C9F6"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C62152">
        <w:rPr>
          <w:rFonts w:eastAsia="Times New Roman" w:cstheme="minorHAnsi"/>
          <w:lang w:val="en-GB" w:eastAsia="ar-SA"/>
        </w:rPr>
        <w:t xml:space="preserve"> </w:t>
      </w:r>
      <w:r w:rsidR="000121FA">
        <w:rPr>
          <w:rFonts w:eastAsia="Times New Roman" w:cstheme="minorHAnsi"/>
          <w:lang w:val="en-GB" w:eastAsia="ar-SA"/>
        </w:rPr>
        <w:t>Higher Medical Device Specialist</w:t>
      </w:r>
    </w:p>
    <w:p w14:paraId="51469F72" w14:textId="7C0A59CC"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Mobile No</w:t>
      </w:r>
      <w:r w:rsidR="00C62152">
        <w:rPr>
          <w:rFonts w:eastAsia="Times New Roman" w:cstheme="minorHAnsi"/>
          <w:lang w:val="en-GB" w:eastAsia="ar-SA"/>
        </w:rPr>
        <w:t xml:space="preserve"> </w:t>
      </w:r>
      <w:r w:rsidR="000121FA">
        <w:rPr>
          <w:rFonts w:eastAsia="Times New Roman" w:cstheme="minorHAnsi"/>
          <w:lang w:val="en-GB" w:eastAsia="ar-SA"/>
        </w:rPr>
        <w:t>07502 116111</w:t>
      </w:r>
    </w:p>
    <w:p w14:paraId="1D5FBF25"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7D34A30A"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Declaration</w:t>
      </w:r>
    </w:p>
    <w:p w14:paraId="4D1B134B" w14:textId="4FDE3670"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t>Authorised</w:t>
      </w:r>
      <w:r w:rsidR="00CE1D8B">
        <w:rPr>
          <w:rFonts w:eastAsia="Times New Roman" w:cstheme="minorHAnsi"/>
          <w:lang w:val="en-GB" w:eastAsia="ar-SA"/>
        </w:rPr>
        <w:t xml:space="preserve"> </w:t>
      </w:r>
      <w:r w:rsidRPr="00775617">
        <w:rPr>
          <w:rFonts w:eastAsia="Times New Roman" w:cstheme="minorHAnsi"/>
          <w:lang w:val="en-GB" w:eastAsia="ar-SA"/>
        </w:rPr>
        <w:t>by</w:t>
      </w:r>
      <w:r w:rsidR="000121FA">
        <w:rPr>
          <w:rFonts w:eastAsia="Times New Roman" w:cstheme="minorHAnsi"/>
          <w:lang w:val="en-GB" w:eastAsia="ar-SA"/>
        </w:rPr>
        <w:t xml:space="preserve"> </w:t>
      </w:r>
    </w:p>
    <w:p w14:paraId="1ADB5728" w14:textId="2967CCDA" w:rsidR="000121FA" w:rsidRDefault="000121FA" w:rsidP="00877596">
      <w:pPr>
        <w:autoSpaceDE w:val="0"/>
        <w:autoSpaceDN w:val="0"/>
        <w:adjustRightInd w:val="0"/>
        <w:spacing w:after="0" w:line="240" w:lineRule="auto"/>
        <w:rPr>
          <w:rFonts w:eastAsia="Times New Roman" w:cstheme="minorHAnsi"/>
          <w:lang w:val="en-GB" w:eastAsia="ar-SA"/>
        </w:rPr>
      </w:pPr>
      <w:r>
        <w:rPr>
          <w:rFonts w:eastAsia="Times New Roman" w:cstheme="minorHAnsi"/>
          <w:noProof/>
          <w:lang w:val="en-GB" w:eastAsia="ar-SA"/>
        </w:rPr>
        <w:drawing>
          <wp:inline distT="0" distB="0" distL="0" distR="0" wp14:anchorId="0E2A938D" wp14:editId="40890F7A">
            <wp:extent cx="1714499" cy="514350"/>
            <wp:effectExtent l="0" t="0" r="635"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png"/>
                    <pic:cNvPicPr/>
                  </pic:nvPicPr>
                  <pic:blipFill rotWithShape="1">
                    <a:blip r:embed="rId4">
                      <a:extLst>
                        <a:ext uri="{28A0092B-C50C-407E-A947-70E740481C1C}">
                          <a14:useLocalDpi xmlns:a14="http://schemas.microsoft.com/office/drawing/2010/main" val="0"/>
                        </a:ext>
                      </a:extLst>
                    </a:blip>
                    <a:srcRect t="1" b="5262"/>
                    <a:stretch/>
                  </pic:blipFill>
                  <pic:spPr bwMode="auto">
                    <a:xfrm>
                      <a:off x="0" y="0"/>
                      <a:ext cx="1714739" cy="514422"/>
                    </a:xfrm>
                    <a:prstGeom prst="rect">
                      <a:avLst/>
                    </a:prstGeom>
                    <a:ln>
                      <a:noFill/>
                    </a:ln>
                    <a:extLst>
                      <a:ext uri="{53640926-AAD7-44D8-BBD7-CCE9431645EC}">
                        <a14:shadowObscured xmlns:a14="http://schemas.microsoft.com/office/drawing/2010/main"/>
                      </a:ext>
                    </a:extLst>
                  </pic:spPr>
                </pic:pic>
              </a:graphicData>
            </a:graphic>
          </wp:inline>
        </w:drawing>
      </w:r>
    </w:p>
    <w:p w14:paraId="675FA41A" w14:textId="6B6BCECE"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Date</w:t>
      </w:r>
      <w:r w:rsidR="000121FA">
        <w:rPr>
          <w:rFonts w:eastAsia="Times New Roman" w:cstheme="minorHAnsi"/>
          <w:lang w:val="en-GB" w:eastAsia="ar-SA"/>
        </w:rPr>
        <w:t xml:space="preserve"> 14/06/2019</w:t>
      </w:r>
    </w:p>
    <w:p w14:paraId="3B695952" w14:textId="2E0817A8"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Print Name</w:t>
      </w:r>
      <w:r w:rsidR="000121FA">
        <w:rPr>
          <w:rFonts w:eastAsia="Times New Roman" w:cstheme="minorHAnsi"/>
          <w:lang w:val="en-GB" w:eastAsia="ar-SA"/>
        </w:rPr>
        <w:t xml:space="preserve"> Phillip Davenport</w:t>
      </w:r>
    </w:p>
    <w:p w14:paraId="120514FB" w14:textId="49396D22" w:rsidR="00877596" w:rsidRDefault="00877596" w:rsidP="00CE1D8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Position</w:t>
      </w:r>
      <w:r w:rsidR="000121FA">
        <w:rPr>
          <w:rFonts w:eastAsia="Times New Roman" w:cstheme="minorHAnsi"/>
          <w:lang w:val="en-GB" w:eastAsia="ar-SA"/>
        </w:rPr>
        <w:t xml:space="preserve"> Higher Medical Device Specialist</w:t>
      </w:r>
    </w:p>
    <w:p w14:paraId="07B3B212" w14:textId="13C319AF" w:rsidR="00CE1D8B" w:rsidRDefault="00CE1D8B" w:rsidP="00CE1D8B">
      <w:pPr>
        <w:autoSpaceDE w:val="0"/>
        <w:autoSpaceDN w:val="0"/>
        <w:adjustRightInd w:val="0"/>
        <w:spacing w:after="0" w:line="240" w:lineRule="auto"/>
        <w:rPr>
          <w:rFonts w:eastAsia="Times New Roman" w:cstheme="minorHAnsi"/>
          <w:lang w:val="en-GB" w:eastAsia="ar-SA"/>
        </w:rPr>
      </w:pPr>
    </w:p>
    <w:p w14:paraId="648C2C42" w14:textId="77777777" w:rsidR="001A268C" w:rsidRDefault="001A268C" w:rsidP="001A268C">
      <w:r>
        <w:t xml:space="preserve">Central governmental bodies do not take out public liability insurance based on the following, hence the reason I cannot provide you a certificate: </w:t>
      </w:r>
    </w:p>
    <w:p w14:paraId="1AA777CF" w14:textId="77777777" w:rsidR="001A268C" w:rsidRDefault="001A268C" w:rsidP="001A268C">
      <w:pPr>
        <w:rPr>
          <w:i/>
          <w:iCs/>
        </w:rPr>
      </w:pPr>
      <w:r>
        <w:rPr>
          <w:i/>
          <w:iCs/>
        </w:rPr>
        <w:t xml:space="preserve">Central government </w:t>
      </w:r>
      <w:proofErr w:type="spellStart"/>
      <w:r>
        <w:rPr>
          <w:i/>
          <w:iCs/>
        </w:rPr>
        <w:t>organisations</w:t>
      </w:r>
      <w:proofErr w:type="spellEnd"/>
      <w:r>
        <w:rPr>
          <w:i/>
          <w:iCs/>
        </w:rPr>
        <w:t xml:space="preserve"> should not generally take out commercial insurance because it is better value for money for the taxpayer to cover its own risks. However, there are some circumstances where commercial insurance is appropriate. This annex sets out the issues to be considered. This guidance applies to departments and their arms-length bodies.</w:t>
      </w:r>
    </w:p>
    <w:p w14:paraId="51ACFA23" w14:textId="77777777" w:rsidR="001A268C" w:rsidRDefault="001A268C" w:rsidP="001A268C">
      <w:r>
        <w:t xml:space="preserve">The document can be found here: </w:t>
      </w:r>
      <w:hyperlink r:id="rId5" w:history="1">
        <w:r>
          <w:rPr>
            <w:rStyle w:val="Hyperlink"/>
          </w:rPr>
          <w:t>https://www.gov.uk/government/publications/managing-public-money</w:t>
        </w:r>
      </w:hyperlink>
      <w:r>
        <w:t xml:space="preserve"> </w:t>
      </w:r>
    </w:p>
    <w:p w14:paraId="7EBAB7D2" w14:textId="77777777" w:rsidR="001A268C" w:rsidRDefault="001A268C" w:rsidP="001A268C">
      <w:r>
        <w:t xml:space="preserve">The section you want to reference will be Annex 4.4. </w:t>
      </w:r>
    </w:p>
    <w:p w14:paraId="5C2AE268" w14:textId="77777777" w:rsidR="001A268C" w:rsidRDefault="001A268C" w:rsidP="001A268C"/>
    <w:p w14:paraId="743C9801" w14:textId="77777777" w:rsidR="001A268C" w:rsidRDefault="001A268C" w:rsidP="001A268C">
      <w:r>
        <w:t xml:space="preserve">If you could update your records accordingly and confirm this now lists us as compliant. </w:t>
      </w:r>
    </w:p>
    <w:p w14:paraId="3EBD0A71" w14:textId="77777777" w:rsidR="00CE1D8B" w:rsidRPr="00775617" w:rsidRDefault="00CE1D8B" w:rsidP="00CE1D8B">
      <w:pPr>
        <w:autoSpaceDE w:val="0"/>
        <w:autoSpaceDN w:val="0"/>
        <w:adjustRightInd w:val="0"/>
        <w:spacing w:after="0" w:line="240" w:lineRule="auto"/>
        <w:rPr>
          <w:rFonts w:eastAsia="Times New Roman" w:cstheme="minorHAnsi"/>
          <w:lang w:val="en-GB" w:eastAsia="ar-SA"/>
        </w:rPr>
      </w:pPr>
    </w:p>
    <w:p w14:paraId="6802AB5C" w14:textId="79C42A38" w:rsidR="00877596" w:rsidRPr="00775617" w:rsidRDefault="00877596" w:rsidP="00877596">
      <w:pPr>
        <w:suppressAutoHyphens/>
        <w:autoSpaceDE w:val="0"/>
        <w:spacing w:after="0" w:line="240" w:lineRule="auto"/>
        <w:jc w:val="center"/>
        <w:rPr>
          <w:rFonts w:eastAsia="Times New Roman" w:cstheme="minorHAnsi"/>
          <w:b/>
          <w:bCs/>
          <w:lang w:val="en-GB" w:eastAsia="en-GB"/>
        </w:rPr>
      </w:pPr>
      <w:r w:rsidRPr="00775617">
        <w:rPr>
          <w:rFonts w:eastAsia="Times New Roman" w:cstheme="minorHAnsi"/>
          <w:b/>
          <w:highlight w:val="yellow"/>
          <w:lang w:val="en-GB" w:eastAsia="ar-SA"/>
        </w:rPr>
        <w:t xml:space="preserve">Please return to </w:t>
      </w:r>
      <w:hyperlink r:id="rId6" w:history="1">
        <w:r w:rsidR="001234F0" w:rsidRPr="00775617">
          <w:rPr>
            <w:rStyle w:val="Hyperlink"/>
            <w:rFonts w:eastAsia="Times New Roman" w:cstheme="minorHAnsi"/>
            <w:b/>
            <w:highlight w:val="yellow"/>
            <w:lang w:val="en-GB" w:eastAsia="ar-SA"/>
          </w:rPr>
          <w:t>pmg@conferencecollective.co.uk</w:t>
        </w:r>
      </w:hyperlink>
      <w:r w:rsidRPr="00775617">
        <w:rPr>
          <w:rFonts w:eastAsia="Times New Roman" w:cstheme="minorHAnsi"/>
          <w:b/>
          <w:highlight w:val="yellow"/>
          <w:lang w:val="en-GB" w:eastAsia="ar-SA"/>
        </w:rPr>
        <w:t xml:space="preserve"> by</w:t>
      </w:r>
      <w:r w:rsidRPr="00775617">
        <w:rPr>
          <w:rFonts w:eastAsia="Times New Roman" w:cstheme="minorHAnsi"/>
          <w:b/>
          <w:bCs/>
          <w:highlight w:val="yellow"/>
          <w:lang w:val="en-GB" w:eastAsia="en-GB"/>
        </w:rPr>
        <w:t xml:space="preserve"> </w:t>
      </w:r>
      <w:r w:rsidR="001234F0" w:rsidRPr="00775617">
        <w:rPr>
          <w:rFonts w:eastAsia="Times New Roman" w:cstheme="minorHAnsi"/>
          <w:b/>
          <w:bCs/>
          <w:highlight w:val="yellow"/>
          <w:lang w:val="en-GB" w:eastAsia="en-GB"/>
        </w:rPr>
        <w:t xml:space="preserve">Friday </w:t>
      </w:r>
      <w:r w:rsidR="009D3C46">
        <w:rPr>
          <w:rFonts w:eastAsia="Times New Roman" w:cstheme="minorHAnsi"/>
          <w:b/>
          <w:bCs/>
          <w:highlight w:val="yellow"/>
          <w:lang w:val="en-GB" w:eastAsia="en-GB"/>
        </w:rPr>
        <w:t>14</w:t>
      </w:r>
      <w:r w:rsidRPr="00775617">
        <w:rPr>
          <w:rFonts w:eastAsia="Times New Roman" w:cstheme="minorHAnsi"/>
          <w:b/>
          <w:bCs/>
          <w:highlight w:val="yellow"/>
          <w:lang w:val="en-GB" w:eastAsia="en-GB"/>
        </w:rPr>
        <w:t xml:space="preserve"> </w:t>
      </w:r>
      <w:r w:rsidR="00060F8A">
        <w:rPr>
          <w:rFonts w:eastAsia="Times New Roman" w:cstheme="minorHAnsi"/>
          <w:b/>
          <w:bCs/>
          <w:highlight w:val="yellow"/>
          <w:lang w:val="en-GB" w:eastAsia="en-GB"/>
        </w:rPr>
        <w:t xml:space="preserve">June </w:t>
      </w:r>
      <w:r w:rsidRPr="00775617">
        <w:rPr>
          <w:rFonts w:eastAsia="Times New Roman" w:cstheme="minorHAnsi"/>
          <w:b/>
          <w:bCs/>
          <w:highlight w:val="yellow"/>
          <w:lang w:val="en-GB" w:eastAsia="en-GB"/>
        </w:rPr>
        <w:t>201</w:t>
      </w:r>
      <w:r w:rsidR="00060F8A">
        <w:rPr>
          <w:rFonts w:eastAsia="Times New Roman" w:cstheme="minorHAnsi"/>
          <w:b/>
          <w:bCs/>
          <w:highlight w:val="yellow"/>
          <w:lang w:val="en-GB" w:eastAsia="en-GB"/>
        </w:rPr>
        <w:t>9</w:t>
      </w:r>
      <w:r w:rsidRPr="00775617">
        <w:rPr>
          <w:rFonts w:eastAsia="Times New Roman" w:cstheme="minorHAnsi"/>
          <w:b/>
          <w:bCs/>
          <w:highlight w:val="yellow"/>
          <w:lang w:val="en-GB" w:eastAsia="en-GB"/>
        </w:rPr>
        <w:t>.</w:t>
      </w:r>
    </w:p>
    <w:p w14:paraId="38DA5F51" w14:textId="36FC9359" w:rsidR="001A268C" w:rsidRDefault="001A268C">
      <w:r>
        <w:br w:type="page"/>
      </w:r>
    </w:p>
    <w:p w14:paraId="6C4E3A72" w14:textId="77777777" w:rsidR="001A268C" w:rsidRDefault="001A268C" w:rsidP="00877596">
      <w:pPr>
        <w:sectPr w:rsidR="001A268C">
          <w:pgSz w:w="12240" w:h="15840"/>
          <w:pgMar w:top="1440" w:right="1440" w:bottom="1440" w:left="1440" w:header="720" w:footer="720" w:gutter="0"/>
          <w:cols w:space="720"/>
          <w:docGrid w:linePitch="360"/>
        </w:sectPr>
      </w:pPr>
    </w:p>
    <w:p w14:paraId="7A42E32D" w14:textId="77777777" w:rsidR="001A268C" w:rsidRPr="00E82260" w:rsidRDefault="001A268C" w:rsidP="001A268C">
      <w:pPr>
        <w:jc w:val="center"/>
        <w:rPr>
          <w:b/>
          <w:u w:val="single"/>
        </w:rPr>
      </w:pPr>
      <w:r w:rsidRPr="00E82260">
        <w:rPr>
          <w:b/>
          <w:u w:val="single"/>
        </w:rPr>
        <w:lastRenderedPageBreak/>
        <w:t>PMG CONFERENCE 201</w:t>
      </w:r>
      <w:r>
        <w:rPr>
          <w:b/>
          <w:u w:val="single"/>
        </w:rPr>
        <w:t>9</w:t>
      </w:r>
      <w:r w:rsidRPr="00E82260">
        <w:rPr>
          <w:b/>
          <w:u w:val="single"/>
        </w:rPr>
        <w:t xml:space="preserve"> RISK ASSESSMENT</w:t>
      </w:r>
    </w:p>
    <w:tbl>
      <w:tblPr>
        <w:tblStyle w:val="TableGrid"/>
        <w:tblW w:w="0" w:type="auto"/>
        <w:tblLook w:val="04A0" w:firstRow="1" w:lastRow="0" w:firstColumn="1" w:lastColumn="0" w:noHBand="0" w:noVBand="1"/>
      </w:tblPr>
      <w:tblGrid>
        <w:gridCol w:w="5129"/>
        <w:gridCol w:w="5129"/>
        <w:gridCol w:w="5130"/>
      </w:tblGrid>
      <w:tr w:rsidR="001A268C" w:rsidRPr="009D408F" w14:paraId="78F69BB9" w14:textId="77777777" w:rsidTr="00294B65">
        <w:tc>
          <w:tcPr>
            <w:tcW w:w="5129" w:type="dxa"/>
          </w:tcPr>
          <w:p w14:paraId="731238C5" w14:textId="77777777" w:rsidR="001A268C" w:rsidRPr="009D408F" w:rsidRDefault="001A268C" w:rsidP="00294B65">
            <w:r w:rsidRPr="009D408F">
              <w:rPr>
                <w:b/>
              </w:rPr>
              <w:t xml:space="preserve">Event: </w:t>
            </w:r>
            <w:r>
              <w:t>PMG Conference 2019</w:t>
            </w:r>
          </w:p>
        </w:tc>
        <w:tc>
          <w:tcPr>
            <w:tcW w:w="5129" w:type="dxa"/>
          </w:tcPr>
          <w:p w14:paraId="1D18CE7C" w14:textId="77777777" w:rsidR="001A268C" w:rsidRPr="009D408F" w:rsidRDefault="001A268C" w:rsidP="00294B65">
            <w:r w:rsidRPr="009D408F">
              <w:rPr>
                <w:b/>
              </w:rPr>
              <w:t>Event Dates:</w:t>
            </w:r>
            <w:r w:rsidRPr="009D408F">
              <w:t xml:space="preserve"> </w:t>
            </w:r>
            <w:r>
              <w:t>15/07/19 – 17/07/19</w:t>
            </w:r>
          </w:p>
        </w:tc>
        <w:tc>
          <w:tcPr>
            <w:tcW w:w="5130" w:type="dxa"/>
          </w:tcPr>
          <w:p w14:paraId="5BB63AB2" w14:textId="77777777" w:rsidR="001A268C" w:rsidRPr="009D408F" w:rsidRDefault="001A268C" w:rsidP="00294B65">
            <w:r w:rsidRPr="009D408F">
              <w:rPr>
                <w:b/>
              </w:rPr>
              <w:t>Venue/Location:</w:t>
            </w:r>
            <w:r w:rsidRPr="009D408F">
              <w:t xml:space="preserve"> </w:t>
            </w:r>
            <w:r>
              <w:t>The International Centre, Telford</w:t>
            </w:r>
          </w:p>
        </w:tc>
      </w:tr>
      <w:tr w:rsidR="001A268C" w:rsidRPr="009D408F" w14:paraId="0CED4DC6" w14:textId="77777777" w:rsidTr="00294B65">
        <w:tc>
          <w:tcPr>
            <w:tcW w:w="5129" w:type="dxa"/>
          </w:tcPr>
          <w:p w14:paraId="27C0F8FA" w14:textId="77777777" w:rsidR="001A268C" w:rsidRPr="009D408F" w:rsidRDefault="001A268C" w:rsidP="00294B65">
            <w:r w:rsidRPr="009D408F">
              <w:rPr>
                <w:b/>
              </w:rPr>
              <w:t>Company Name:</w:t>
            </w:r>
            <w:r w:rsidRPr="009D408F">
              <w:t xml:space="preserve"> </w:t>
            </w:r>
            <w:r>
              <w:t>MHRA</w:t>
            </w:r>
          </w:p>
        </w:tc>
        <w:tc>
          <w:tcPr>
            <w:tcW w:w="5129" w:type="dxa"/>
          </w:tcPr>
          <w:p w14:paraId="311C5089" w14:textId="77777777" w:rsidR="001A268C" w:rsidRPr="009D408F" w:rsidRDefault="001A268C" w:rsidP="00294B65">
            <w:r w:rsidRPr="009D408F">
              <w:rPr>
                <w:b/>
              </w:rPr>
              <w:t>Stand Number:</w:t>
            </w:r>
            <w:r w:rsidRPr="009D408F">
              <w:t xml:space="preserve"> </w:t>
            </w:r>
            <w:r>
              <w:t>45</w:t>
            </w:r>
          </w:p>
        </w:tc>
        <w:tc>
          <w:tcPr>
            <w:tcW w:w="5130" w:type="dxa"/>
          </w:tcPr>
          <w:p w14:paraId="264A56B6" w14:textId="77777777" w:rsidR="001A268C" w:rsidRPr="009D408F" w:rsidRDefault="001A268C" w:rsidP="00294B65">
            <w:r w:rsidRPr="009D408F">
              <w:rPr>
                <w:b/>
              </w:rPr>
              <w:t>Contracted Stand Builder:</w:t>
            </w:r>
            <w:r w:rsidRPr="009D408F">
              <w:t xml:space="preserve"> </w:t>
            </w:r>
            <w:r>
              <w:rPr>
                <w:i/>
              </w:rPr>
              <w:t>Anchor Exhibitions (if using provided shell scheme)</w:t>
            </w:r>
          </w:p>
        </w:tc>
      </w:tr>
      <w:tr w:rsidR="001A268C" w:rsidRPr="009D408F" w14:paraId="11F2DADB" w14:textId="77777777" w:rsidTr="00294B65">
        <w:tc>
          <w:tcPr>
            <w:tcW w:w="15388" w:type="dxa"/>
            <w:gridSpan w:val="3"/>
          </w:tcPr>
          <w:p w14:paraId="06CD6D9D" w14:textId="77777777" w:rsidR="001A268C" w:rsidRPr="009D408F" w:rsidRDefault="001A268C" w:rsidP="00294B65">
            <w:r w:rsidRPr="009D408F">
              <w:rPr>
                <w:b/>
              </w:rPr>
              <w:t>Contractor</w:t>
            </w:r>
            <w:r>
              <w:rPr>
                <w:b/>
              </w:rPr>
              <w:t>’</w:t>
            </w:r>
            <w:r w:rsidRPr="009D408F">
              <w:rPr>
                <w:b/>
              </w:rPr>
              <w:t>s Details:</w:t>
            </w:r>
            <w:r w:rsidRPr="009D408F">
              <w:t xml:space="preserve"> </w:t>
            </w:r>
            <w:r w:rsidRPr="00415505">
              <w:rPr>
                <w:i/>
              </w:rPr>
              <w:t>Anchor Exhibitions</w:t>
            </w:r>
            <w:r w:rsidRPr="0070169B">
              <w:rPr>
                <w:i/>
              </w:rPr>
              <w:t xml:space="preserve"> L</w:t>
            </w:r>
            <w:r>
              <w:rPr>
                <w:i/>
              </w:rPr>
              <w:t>imited</w:t>
            </w:r>
            <w:r w:rsidRPr="0070169B">
              <w:rPr>
                <w:i/>
              </w:rPr>
              <w:t xml:space="preserve"> </w:t>
            </w:r>
            <w:r w:rsidRPr="00415505">
              <w:rPr>
                <w:i/>
              </w:rPr>
              <w:t>2 Cedar Court | Grove Road | Burbage | Leicestershire LE10 2AE</w:t>
            </w:r>
            <w:r>
              <w:rPr>
                <w:i/>
              </w:rPr>
              <w:t xml:space="preserve">; </w:t>
            </w:r>
            <w:r w:rsidRPr="0070169B">
              <w:rPr>
                <w:i/>
              </w:rPr>
              <w:t>+44 (0)1</w:t>
            </w:r>
            <w:r>
              <w:rPr>
                <w:i/>
              </w:rPr>
              <w:t xml:space="preserve">45 5612 341 ; </w:t>
            </w:r>
            <w:hyperlink r:id="rId7" w:history="1">
              <w:r w:rsidRPr="00143F34">
                <w:rPr>
                  <w:rFonts w:ascii="Calibri" w:eastAsia="Calibri" w:hAnsi="Calibri" w:cs="Calibri"/>
                  <w:i/>
                  <w:lang w:val="en-US"/>
                </w:rPr>
                <w:t>admin@anchor-exhibitions.co.uk</w:t>
              </w:r>
            </w:hyperlink>
            <w:r w:rsidRPr="00143F34">
              <w:rPr>
                <w:i/>
              </w:rPr>
              <w:t xml:space="preserve"> (</w:t>
            </w:r>
            <w:r>
              <w:rPr>
                <w:i/>
              </w:rPr>
              <w:t>if using provided shell scheme, please also include any other relevant contractors)</w:t>
            </w:r>
          </w:p>
        </w:tc>
      </w:tr>
      <w:tr w:rsidR="001A268C" w:rsidRPr="009D408F" w14:paraId="7E1F23CE" w14:textId="77777777" w:rsidTr="00294B65">
        <w:tc>
          <w:tcPr>
            <w:tcW w:w="5129" w:type="dxa"/>
          </w:tcPr>
          <w:p w14:paraId="2CC2CD97" w14:textId="77777777" w:rsidR="001A268C" w:rsidRPr="009D408F" w:rsidRDefault="001A268C" w:rsidP="00294B65">
            <w:r w:rsidRPr="009D408F">
              <w:rPr>
                <w:b/>
              </w:rPr>
              <w:t>Stand Manager:</w:t>
            </w:r>
            <w:r w:rsidRPr="009D408F">
              <w:t xml:space="preserve"> </w:t>
            </w:r>
            <w:r>
              <w:t>Phillip Davenport</w:t>
            </w:r>
          </w:p>
        </w:tc>
        <w:tc>
          <w:tcPr>
            <w:tcW w:w="5129" w:type="dxa"/>
          </w:tcPr>
          <w:p w14:paraId="4855DF04" w14:textId="77777777" w:rsidR="001A268C" w:rsidRPr="009D408F" w:rsidRDefault="001A268C" w:rsidP="00294B65">
            <w:pPr>
              <w:rPr>
                <w:b/>
              </w:rPr>
            </w:pPr>
          </w:p>
        </w:tc>
        <w:tc>
          <w:tcPr>
            <w:tcW w:w="5130" w:type="dxa"/>
          </w:tcPr>
          <w:p w14:paraId="21596908" w14:textId="77777777" w:rsidR="001A268C" w:rsidRPr="00E82260" w:rsidRDefault="001A268C" w:rsidP="00294B65">
            <w:pPr>
              <w:rPr>
                <w:b/>
              </w:rPr>
            </w:pPr>
            <w:r w:rsidRPr="00E82260">
              <w:rPr>
                <w:b/>
              </w:rPr>
              <w:t xml:space="preserve">Email: </w:t>
            </w:r>
            <w:r>
              <w:rPr>
                <w:b/>
              </w:rPr>
              <w:t>phillip.davenport@mhra.gov.uk</w:t>
            </w:r>
          </w:p>
        </w:tc>
      </w:tr>
    </w:tbl>
    <w:p w14:paraId="0BAD961E" w14:textId="77777777" w:rsidR="001A268C" w:rsidRPr="009D408F" w:rsidRDefault="001A268C" w:rsidP="001A268C">
      <w:pPr>
        <w:spacing w:after="0"/>
      </w:pPr>
    </w:p>
    <w:tbl>
      <w:tblPr>
        <w:tblStyle w:val="TableGrid"/>
        <w:tblW w:w="0" w:type="auto"/>
        <w:tblLook w:val="04A0" w:firstRow="1" w:lastRow="0" w:firstColumn="1" w:lastColumn="0" w:noHBand="0" w:noVBand="1"/>
      </w:tblPr>
      <w:tblGrid>
        <w:gridCol w:w="3077"/>
        <w:gridCol w:w="3077"/>
        <w:gridCol w:w="3078"/>
        <w:gridCol w:w="3078"/>
        <w:gridCol w:w="3078"/>
      </w:tblGrid>
      <w:tr w:rsidR="001A268C" w:rsidRPr="009D408F" w14:paraId="3FF58F60" w14:textId="77777777" w:rsidTr="00294B65">
        <w:tc>
          <w:tcPr>
            <w:tcW w:w="3077" w:type="dxa"/>
          </w:tcPr>
          <w:p w14:paraId="1D64AF2E" w14:textId="77777777" w:rsidR="001A268C" w:rsidRPr="009D408F" w:rsidRDefault="001A268C" w:rsidP="00294B65">
            <w:pPr>
              <w:rPr>
                <w:b/>
              </w:rPr>
            </w:pPr>
            <w:r w:rsidRPr="009D408F">
              <w:rPr>
                <w:b/>
              </w:rPr>
              <w:t>Hazard</w:t>
            </w:r>
          </w:p>
        </w:tc>
        <w:tc>
          <w:tcPr>
            <w:tcW w:w="3077" w:type="dxa"/>
          </w:tcPr>
          <w:p w14:paraId="3AA1269E" w14:textId="77777777" w:rsidR="001A268C" w:rsidRPr="009D408F" w:rsidRDefault="001A268C" w:rsidP="00294B65">
            <w:pPr>
              <w:rPr>
                <w:b/>
              </w:rPr>
            </w:pPr>
            <w:r w:rsidRPr="009D408F">
              <w:rPr>
                <w:b/>
              </w:rPr>
              <w:t>Who is Affected</w:t>
            </w:r>
          </w:p>
        </w:tc>
        <w:tc>
          <w:tcPr>
            <w:tcW w:w="3078" w:type="dxa"/>
          </w:tcPr>
          <w:p w14:paraId="535349FF" w14:textId="77777777" w:rsidR="001A268C" w:rsidRPr="009D408F" w:rsidRDefault="001A268C" w:rsidP="00294B65">
            <w:pPr>
              <w:rPr>
                <w:b/>
              </w:rPr>
            </w:pPr>
            <w:r w:rsidRPr="009D408F">
              <w:rPr>
                <w:b/>
              </w:rPr>
              <w:t>Level of Risk</w:t>
            </w:r>
          </w:p>
        </w:tc>
        <w:tc>
          <w:tcPr>
            <w:tcW w:w="3078" w:type="dxa"/>
          </w:tcPr>
          <w:p w14:paraId="3D4AAA3B" w14:textId="77777777" w:rsidR="001A268C" w:rsidRPr="009D408F" w:rsidRDefault="001A268C" w:rsidP="00294B65">
            <w:pPr>
              <w:rPr>
                <w:b/>
              </w:rPr>
            </w:pPr>
            <w:r w:rsidRPr="009D408F">
              <w:rPr>
                <w:b/>
              </w:rPr>
              <w:t>Precautions/Actions</w:t>
            </w:r>
          </w:p>
        </w:tc>
        <w:tc>
          <w:tcPr>
            <w:tcW w:w="3078" w:type="dxa"/>
          </w:tcPr>
          <w:p w14:paraId="7471772A" w14:textId="77777777" w:rsidR="001A268C" w:rsidRPr="009D408F" w:rsidRDefault="001A268C" w:rsidP="00294B65">
            <w:pPr>
              <w:rPr>
                <w:b/>
              </w:rPr>
            </w:pPr>
            <w:r w:rsidRPr="009D408F">
              <w:rPr>
                <w:b/>
              </w:rPr>
              <w:t>Further Action</w:t>
            </w:r>
          </w:p>
        </w:tc>
      </w:tr>
      <w:tr w:rsidR="001A268C" w:rsidRPr="009D408F" w14:paraId="5E380C52" w14:textId="77777777" w:rsidTr="00294B65">
        <w:trPr>
          <w:trHeight w:val="995"/>
        </w:trPr>
        <w:tc>
          <w:tcPr>
            <w:tcW w:w="3077" w:type="dxa"/>
          </w:tcPr>
          <w:p w14:paraId="4A8A3F4C" w14:textId="77777777" w:rsidR="001A268C" w:rsidRDefault="001A268C" w:rsidP="00294B65"/>
          <w:p w14:paraId="34AB3641" w14:textId="77777777" w:rsidR="001A268C" w:rsidRDefault="001A268C" w:rsidP="00294B65">
            <w:r>
              <w:t xml:space="preserve">Use of floor banners – risk of entrapment of fingers, etc. during set-up/take down. </w:t>
            </w:r>
          </w:p>
          <w:p w14:paraId="274D27D1" w14:textId="77777777" w:rsidR="001A268C" w:rsidRDefault="001A268C" w:rsidP="00294B65"/>
          <w:p w14:paraId="55FD4C59" w14:textId="77777777" w:rsidR="001A268C" w:rsidRDefault="001A268C" w:rsidP="00294B65"/>
          <w:p w14:paraId="7166E0D9" w14:textId="77777777" w:rsidR="001A268C" w:rsidRPr="009D408F" w:rsidRDefault="001A268C" w:rsidP="00294B65"/>
        </w:tc>
        <w:tc>
          <w:tcPr>
            <w:tcW w:w="3077" w:type="dxa"/>
          </w:tcPr>
          <w:p w14:paraId="12CCE1F7" w14:textId="77777777" w:rsidR="001A268C" w:rsidRPr="009D408F" w:rsidRDefault="001A268C" w:rsidP="00294B65">
            <w:pPr>
              <w:pStyle w:val="ListParagraph"/>
            </w:pPr>
            <w:r>
              <w:t>Exhibitors</w:t>
            </w:r>
          </w:p>
        </w:tc>
        <w:tc>
          <w:tcPr>
            <w:tcW w:w="3078" w:type="dxa"/>
          </w:tcPr>
          <w:p w14:paraId="59058164" w14:textId="77777777" w:rsidR="001A268C" w:rsidRPr="009D408F" w:rsidRDefault="001A268C" w:rsidP="00294B65">
            <w:r>
              <w:t>1 x 1</w:t>
            </w:r>
          </w:p>
        </w:tc>
        <w:tc>
          <w:tcPr>
            <w:tcW w:w="3078" w:type="dxa"/>
          </w:tcPr>
          <w:p w14:paraId="4341D02A" w14:textId="77777777" w:rsidR="001A268C" w:rsidRPr="009D408F" w:rsidRDefault="001A268C" w:rsidP="00294B65">
            <w:r>
              <w:t xml:space="preserve">Banners being used for intended purpose, supplied by MHRA conference team who assess condition prior to issue. </w:t>
            </w:r>
          </w:p>
        </w:tc>
        <w:tc>
          <w:tcPr>
            <w:tcW w:w="3078" w:type="dxa"/>
          </w:tcPr>
          <w:p w14:paraId="4EDBB83E" w14:textId="77777777" w:rsidR="001A268C" w:rsidRPr="009D408F" w:rsidRDefault="001A268C" w:rsidP="00294B65">
            <w:r>
              <w:t>None</w:t>
            </w:r>
          </w:p>
        </w:tc>
      </w:tr>
      <w:tr w:rsidR="001A268C" w:rsidRPr="009D408F" w14:paraId="15D6A4E1" w14:textId="77777777" w:rsidTr="00294B65">
        <w:tc>
          <w:tcPr>
            <w:tcW w:w="3077" w:type="dxa"/>
          </w:tcPr>
          <w:p w14:paraId="273D91EA" w14:textId="77777777" w:rsidR="001A268C" w:rsidRDefault="001A268C" w:rsidP="00294B65">
            <w:r>
              <w:t>Electrical hazards</w:t>
            </w:r>
          </w:p>
          <w:p w14:paraId="0013759C" w14:textId="77777777" w:rsidR="001A268C" w:rsidRDefault="001A268C" w:rsidP="00294B65"/>
          <w:p w14:paraId="05938C9C" w14:textId="77777777" w:rsidR="001A268C" w:rsidRDefault="001A268C" w:rsidP="00294B65"/>
          <w:p w14:paraId="0885F33A" w14:textId="77777777" w:rsidR="001A268C" w:rsidRDefault="001A268C" w:rsidP="00294B65"/>
          <w:p w14:paraId="15D09BD5" w14:textId="77777777" w:rsidR="001A268C" w:rsidRDefault="001A268C" w:rsidP="00294B65"/>
          <w:p w14:paraId="7EF6FEA7" w14:textId="77777777" w:rsidR="001A268C" w:rsidRPr="009D408F" w:rsidRDefault="001A268C" w:rsidP="00294B65"/>
        </w:tc>
        <w:tc>
          <w:tcPr>
            <w:tcW w:w="3077" w:type="dxa"/>
          </w:tcPr>
          <w:p w14:paraId="6494573A" w14:textId="77777777" w:rsidR="001A268C" w:rsidRPr="009D408F" w:rsidRDefault="001A268C" w:rsidP="00294B65">
            <w:pPr>
              <w:pStyle w:val="ListParagraph"/>
            </w:pPr>
            <w:r>
              <w:t>Exhibitors/Visitors</w:t>
            </w:r>
          </w:p>
        </w:tc>
        <w:tc>
          <w:tcPr>
            <w:tcW w:w="3078" w:type="dxa"/>
          </w:tcPr>
          <w:p w14:paraId="29E33EF0" w14:textId="77777777" w:rsidR="001A268C" w:rsidRPr="009D408F" w:rsidRDefault="001A268C" w:rsidP="00294B65">
            <w:r>
              <w:t>4 x 1</w:t>
            </w:r>
          </w:p>
        </w:tc>
        <w:tc>
          <w:tcPr>
            <w:tcW w:w="3078" w:type="dxa"/>
          </w:tcPr>
          <w:p w14:paraId="0DF24220" w14:textId="77777777" w:rsidR="001A268C" w:rsidRPr="009D408F" w:rsidRDefault="001A268C" w:rsidP="00294B65">
            <w:r>
              <w:t>No electrical equipment being used, socket installation performed by conference contractors</w:t>
            </w:r>
          </w:p>
        </w:tc>
        <w:tc>
          <w:tcPr>
            <w:tcW w:w="3078" w:type="dxa"/>
          </w:tcPr>
          <w:p w14:paraId="21DF7D4D" w14:textId="77777777" w:rsidR="001A268C" w:rsidRPr="009D408F" w:rsidRDefault="001A268C" w:rsidP="00294B65">
            <w:r>
              <w:t>None</w:t>
            </w:r>
          </w:p>
        </w:tc>
      </w:tr>
      <w:tr w:rsidR="001A268C" w:rsidRPr="009D408F" w14:paraId="71EB1CD8" w14:textId="77777777" w:rsidTr="00294B65">
        <w:tc>
          <w:tcPr>
            <w:tcW w:w="3077" w:type="dxa"/>
          </w:tcPr>
          <w:p w14:paraId="667FFE2A" w14:textId="77777777" w:rsidR="001A268C" w:rsidRDefault="001A268C" w:rsidP="00294B65">
            <w:r>
              <w:t>Tripping hazards from containers/materials, cables</w:t>
            </w:r>
          </w:p>
          <w:p w14:paraId="57467476" w14:textId="77777777" w:rsidR="001A268C" w:rsidRDefault="001A268C" w:rsidP="00294B65"/>
          <w:p w14:paraId="44EEBF97" w14:textId="77777777" w:rsidR="001A268C" w:rsidRDefault="001A268C" w:rsidP="00294B65"/>
          <w:p w14:paraId="1638CCD7" w14:textId="77777777" w:rsidR="001A268C" w:rsidRPr="009D408F" w:rsidRDefault="001A268C" w:rsidP="00294B65"/>
        </w:tc>
        <w:tc>
          <w:tcPr>
            <w:tcW w:w="3077" w:type="dxa"/>
          </w:tcPr>
          <w:p w14:paraId="1C170470" w14:textId="77777777" w:rsidR="001A268C" w:rsidRPr="009D408F" w:rsidRDefault="001A268C" w:rsidP="00294B65">
            <w:pPr>
              <w:pStyle w:val="ListParagraph"/>
            </w:pPr>
            <w:r>
              <w:t>Exhibitors/Visitors</w:t>
            </w:r>
          </w:p>
        </w:tc>
        <w:tc>
          <w:tcPr>
            <w:tcW w:w="3078" w:type="dxa"/>
          </w:tcPr>
          <w:p w14:paraId="3A11F63C" w14:textId="77777777" w:rsidR="001A268C" w:rsidRPr="009D408F" w:rsidRDefault="001A268C" w:rsidP="00294B65">
            <w:r>
              <w:t>1 x 2</w:t>
            </w:r>
          </w:p>
        </w:tc>
        <w:tc>
          <w:tcPr>
            <w:tcW w:w="3078" w:type="dxa"/>
          </w:tcPr>
          <w:p w14:paraId="5E202274" w14:textId="77777777" w:rsidR="001A268C" w:rsidRPr="009D408F" w:rsidRDefault="001A268C" w:rsidP="00294B65">
            <w:r>
              <w:t xml:space="preserve">Containers stored properly, away from exhibition area. </w:t>
            </w:r>
          </w:p>
        </w:tc>
        <w:tc>
          <w:tcPr>
            <w:tcW w:w="3078" w:type="dxa"/>
          </w:tcPr>
          <w:p w14:paraId="11D6A0FF" w14:textId="77777777" w:rsidR="001A268C" w:rsidRPr="009D408F" w:rsidRDefault="001A268C" w:rsidP="00294B65">
            <w:r>
              <w:t>None</w:t>
            </w:r>
          </w:p>
        </w:tc>
      </w:tr>
    </w:tbl>
    <w:p w14:paraId="63BE6BE0" w14:textId="77777777" w:rsidR="001A268C" w:rsidRDefault="001A268C" w:rsidP="001A268C"/>
    <w:p w14:paraId="1B3D4F50" w14:textId="428AF6E6" w:rsidR="001A268C" w:rsidRPr="001A268C" w:rsidRDefault="001A268C" w:rsidP="001A268C">
      <w:pPr>
        <w:rPr>
          <w:b/>
          <w:bCs/>
        </w:rPr>
      </w:pPr>
      <w:bookmarkStart w:id="1" w:name="_GoBack"/>
      <w:r w:rsidRPr="001A268C">
        <w:rPr>
          <w:b/>
          <w:bCs/>
        </w:rPr>
        <w:t>ONLY LOW RISKS</w:t>
      </w:r>
    </w:p>
    <w:bookmarkEnd w:id="1"/>
    <w:p w14:paraId="1A1868DC" w14:textId="77777777" w:rsidR="001A268C" w:rsidRDefault="001A268C" w:rsidP="001A268C">
      <w:r w:rsidRPr="00DF2392">
        <w:rPr>
          <w:b/>
        </w:rPr>
        <w:t>ASSESSMENT BY:</w:t>
      </w:r>
      <w:r>
        <w:tab/>
        <w:t>P Davenport</w:t>
      </w:r>
      <w:r>
        <w:tab/>
      </w:r>
      <w:r>
        <w:tab/>
      </w:r>
      <w:r w:rsidRPr="00DF2392">
        <w:rPr>
          <w:b/>
        </w:rPr>
        <w:t>SIGNATURE:</w:t>
      </w:r>
      <w:r>
        <w:rPr>
          <w:noProof/>
        </w:rPr>
        <w:drawing>
          <wp:inline distT="0" distB="0" distL="0" distR="0" wp14:anchorId="357B8DA0" wp14:editId="5FF4F476">
            <wp:extent cx="1714499" cy="504825"/>
            <wp:effectExtent l="0" t="0" r="635"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png"/>
                    <pic:cNvPicPr/>
                  </pic:nvPicPr>
                  <pic:blipFill rotWithShape="1">
                    <a:blip r:embed="rId4">
                      <a:extLst>
                        <a:ext uri="{28A0092B-C50C-407E-A947-70E740481C1C}">
                          <a14:useLocalDpi xmlns:a14="http://schemas.microsoft.com/office/drawing/2010/main" val="0"/>
                        </a:ext>
                      </a:extLst>
                    </a:blip>
                    <a:srcRect b="7017"/>
                    <a:stretch/>
                  </pic:blipFill>
                  <pic:spPr bwMode="auto">
                    <a:xfrm>
                      <a:off x="0" y="0"/>
                      <a:ext cx="1714739" cy="504896"/>
                    </a:xfrm>
                    <a:prstGeom prst="rect">
                      <a:avLst/>
                    </a:prstGeom>
                    <a:ln>
                      <a:noFill/>
                    </a:ln>
                    <a:extLst>
                      <a:ext uri="{53640926-AAD7-44D8-BBD7-CCE9431645EC}">
                        <a14:shadowObscured xmlns:a14="http://schemas.microsoft.com/office/drawing/2010/main"/>
                      </a:ext>
                    </a:extLst>
                  </pic:spPr>
                </pic:pic>
              </a:graphicData>
            </a:graphic>
          </wp:inline>
        </w:drawing>
      </w:r>
      <w:r>
        <w:tab/>
      </w:r>
      <w:r>
        <w:tab/>
      </w:r>
      <w:r>
        <w:tab/>
      </w:r>
      <w:r>
        <w:tab/>
      </w:r>
      <w:r w:rsidRPr="00DF2392">
        <w:rPr>
          <w:b/>
        </w:rPr>
        <w:t>DATE:</w:t>
      </w:r>
      <w:r>
        <w:rPr>
          <w:b/>
        </w:rPr>
        <w:tab/>
      </w:r>
      <w:r>
        <w:rPr>
          <w:b/>
        </w:rPr>
        <w:tab/>
        <w:t>10/06/2019</w:t>
      </w:r>
      <w:r>
        <w:rPr>
          <w:b/>
        </w:rPr>
        <w:tab/>
      </w:r>
      <w:r>
        <w:rPr>
          <w:b/>
        </w:rPr>
        <w:tab/>
      </w:r>
      <w:r>
        <w:rPr>
          <w:b/>
        </w:rPr>
        <w:tab/>
      </w:r>
      <w:r>
        <w:rPr>
          <w:b/>
        </w:rPr>
        <w:tab/>
      </w:r>
      <w:r>
        <w:rPr>
          <w:b/>
        </w:rPr>
        <w:tab/>
      </w:r>
      <w:r>
        <w:rPr>
          <w:b/>
        </w:rPr>
        <w:tab/>
      </w:r>
      <w:r>
        <w:rPr>
          <w:b/>
        </w:rPr>
        <w:tab/>
      </w:r>
      <w:r>
        <w:rPr>
          <w:b/>
        </w:rPr>
        <w:tab/>
      </w:r>
      <w:r>
        <w:rPr>
          <w:b/>
        </w:rPr>
        <w:tab/>
      </w:r>
      <w:r>
        <w:t xml:space="preserve"> </w:t>
      </w:r>
    </w:p>
    <w:p w14:paraId="12AD8EEF" w14:textId="275112E2" w:rsidR="00FD5B0E" w:rsidRPr="00775617" w:rsidRDefault="00FD5B0E" w:rsidP="00877596"/>
    <w:sectPr w:rsidR="00FD5B0E" w:rsidRPr="00775617" w:rsidSect="00852AF4">
      <w:headerReference w:type="default" r:id="rId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33BB1" w14:textId="77777777" w:rsidR="009C5561" w:rsidRDefault="00A93844">
    <w:pPr>
      <w:pStyle w:val="Header"/>
    </w:pPr>
    <w:r>
      <w:rPr>
        <w:noProof/>
      </w:rPr>
      <w:drawing>
        <wp:anchor distT="0" distB="0" distL="114300" distR="114300" simplePos="0" relativeHeight="251659264" behindDoc="0" locked="0" layoutInCell="1" allowOverlap="1" wp14:anchorId="3532021F" wp14:editId="5A882BB0">
          <wp:simplePos x="0" y="0"/>
          <wp:positionH relativeFrom="margin">
            <wp:posOffset>-321310</wp:posOffset>
          </wp:positionH>
          <wp:positionV relativeFrom="margin">
            <wp:posOffset>-554990</wp:posOffset>
          </wp:positionV>
          <wp:extent cx="676275" cy="6762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96"/>
    <w:rsid w:val="000045E7"/>
    <w:rsid w:val="000121FA"/>
    <w:rsid w:val="00060F8A"/>
    <w:rsid w:val="001234F0"/>
    <w:rsid w:val="00177F0C"/>
    <w:rsid w:val="001A268C"/>
    <w:rsid w:val="003F7B19"/>
    <w:rsid w:val="004C1424"/>
    <w:rsid w:val="004E647C"/>
    <w:rsid w:val="00775617"/>
    <w:rsid w:val="0087429C"/>
    <w:rsid w:val="00877596"/>
    <w:rsid w:val="009D3C46"/>
    <w:rsid w:val="00A93844"/>
    <w:rsid w:val="00B16F1B"/>
    <w:rsid w:val="00B2239F"/>
    <w:rsid w:val="00C62152"/>
    <w:rsid w:val="00CE1D8B"/>
    <w:rsid w:val="00DD0274"/>
    <w:rsid w:val="00EA2C4E"/>
    <w:rsid w:val="00ED6612"/>
    <w:rsid w:val="00F648D8"/>
    <w:rsid w:val="00FD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1795"/>
  <w15:chartTrackingRefBased/>
  <w15:docId w15:val="{00EEC22A-2659-478C-AEAC-8ADAD60A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77596"/>
    <w:pPr>
      <w:spacing w:line="240" w:lineRule="auto"/>
    </w:pPr>
    <w:rPr>
      <w:sz w:val="20"/>
      <w:szCs w:val="20"/>
    </w:rPr>
  </w:style>
  <w:style w:type="character" w:customStyle="1" w:styleId="CommentTextChar">
    <w:name w:val="Comment Text Char"/>
    <w:basedOn w:val="DefaultParagraphFont"/>
    <w:link w:val="CommentText"/>
    <w:uiPriority w:val="99"/>
    <w:semiHidden/>
    <w:rsid w:val="00877596"/>
    <w:rPr>
      <w:sz w:val="20"/>
      <w:szCs w:val="20"/>
    </w:rPr>
  </w:style>
  <w:style w:type="character" w:styleId="CommentReference">
    <w:name w:val="annotation reference"/>
    <w:semiHidden/>
    <w:unhideWhenUsed/>
    <w:rsid w:val="00877596"/>
    <w:rPr>
      <w:sz w:val="16"/>
      <w:szCs w:val="16"/>
    </w:rPr>
  </w:style>
  <w:style w:type="paragraph" w:styleId="BalloonText">
    <w:name w:val="Balloon Text"/>
    <w:basedOn w:val="Normal"/>
    <w:link w:val="BalloonTextChar"/>
    <w:uiPriority w:val="99"/>
    <w:semiHidden/>
    <w:unhideWhenUsed/>
    <w:rsid w:val="0087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596"/>
    <w:rPr>
      <w:rFonts w:ascii="Segoe UI" w:hAnsi="Segoe UI" w:cs="Segoe UI"/>
      <w:sz w:val="18"/>
      <w:szCs w:val="18"/>
    </w:rPr>
  </w:style>
  <w:style w:type="character" w:styleId="Hyperlink">
    <w:name w:val="Hyperlink"/>
    <w:basedOn w:val="DefaultParagraphFont"/>
    <w:uiPriority w:val="99"/>
    <w:unhideWhenUsed/>
    <w:rsid w:val="001234F0"/>
    <w:rPr>
      <w:color w:val="0563C1" w:themeColor="hyperlink"/>
      <w:u w:val="single"/>
    </w:rPr>
  </w:style>
  <w:style w:type="character" w:styleId="UnresolvedMention">
    <w:name w:val="Unresolved Mention"/>
    <w:basedOn w:val="DefaultParagraphFont"/>
    <w:uiPriority w:val="99"/>
    <w:semiHidden/>
    <w:unhideWhenUsed/>
    <w:rsid w:val="001234F0"/>
    <w:rPr>
      <w:color w:val="808080"/>
      <w:shd w:val="clear" w:color="auto" w:fill="E6E6E6"/>
    </w:rPr>
  </w:style>
  <w:style w:type="table" w:styleId="TableGrid">
    <w:name w:val="Table Grid"/>
    <w:basedOn w:val="TableNormal"/>
    <w:uiPriority w:val="39"/>
    <w:rsid w:val="001A268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268C"/>
    <w:pPr>
      <w:ind w:left="720"/>
      <w:contextualSpacing/>
    </w:pPr>
    <w:rPr>
      <w:lang w:val="en-GB"/>
    </w:rPr>
  </w:style>
  <w:style w:type="paragraph" w:styleId="Header">
    <w:name w:val="header"/>
    <w:basedOn w:val="Normal"/>
    <w:link w:val="HeaderChar"/>
    <w:uiPriority w:val="99"/>
    <w:unhideWhenUsed/>
    <w:rsid w:val="001A268C"/>
    <w:pPr>
      <w:tabs>
        <w:tab w:val="center" w:pos="4680"/>
        <w:tab w:val="right" w:pos="9360"/>
      </w:tabs>
      <w:spacing w:after="0" w:line="240" w:lineRule="auto"/>
    </w:pPr>
    <w:rPr>
      <w:lang w:val="en-GB"/>
    </w:rPr>
  </w:style>
  <w:style w:type="character" w:customStyle="1" w:styleId="HeaderChar">
    <w:name w:val="Header Char"/>
    <w:basedOn w:val="DefaultParagraphFont"/>
    <w:link w:val="Header"/>
    <w:uiPriority w:val="99"/>
    <w:rsid w:val="001A268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dmin@anchor-exhibition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mg@conferencecollective.co.uk" TargetMode="External"/><Relationship Id="rId5" Type="http://schemas.openxmlformats.org/officeDocument/2006/relationships/hyperlink" Target="https://www.gov.uk/government/publications/managing-public-money"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Hide</dc:creator>
  <cp:keywords/>
  <dc:description/>
  <cp:lastModifiedBy>Davenport, Phillip</cp:lastModifiedBy>
  <cp:revision>2</cp:revision>
  <dcterms:created xsi:type="dcterms:W3CDTF">2019-06-14T10:47:00Z</dcterms:created>
  <dcterms:modified xsi:type="dcterms:W3CDTF">2019-06-14T10:47:00Z</dcterms:modified>
</cp:coreProperties>
</file>